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BDCF9" w14:textId="7541606B" w:rsidR="003B4602" w:rsidRPr="00AA54BF" w:rsidRDefault="00AA54BF" w:rsidP="003B4602">
      <w:pPr>
        <w:jc w:val="center"/>
        <w:rPr>
          <w:sz w:val="32"/>
          <w:lang w:val="en-US"/>
        </w:rPr>
      </w:pPr>
      <w:r>
        <w:rPr>
          <w:sz w:val="32"/>
          <w:lang w:val="en-US"/>
        </w:rPr>
        <w:t>SOCCOM AU1603</w:t>
      </w:r>
      <w:r w:rsidR="003B4602" w:rsidRPr="00AA54BF">
        <w:rPr>
          <w:sz w:val="32"/>
          <w:lang w:val="en-US"/>
        </w:rPr>
        <w:t xml:space="preserve"> K-Axis </w:t>
      </w:r>
      <w:r w:rsidR="00F65664" w:rsidRPr="00AA54BF">
        <w:rPr>
          <w:sz w:val="32"/>
          <w:lang w:val="en-US"/>
        </w:rPr>
        <w:t>POC</w:t>
      </w:r>
    </w:p>
    <w:p w14:paraId="6B3051B8" w14:textId="730EECF9" w:rsidR="00356820" w:rsidRDefault="00A524F6" w:rsidP="00356820">
      <w:pPr>
        <w:jc w:val="center"/>
        <w:rPr>
          <w:lang w:val="en-US"/>
        </w:rPr>
      </w:pPr>
      <w:r>
        <w:rPr>
          <w:lang w:val="en-US"/>
        </w:rPr>
        <w:t>Nils Haëntjens</w:t>
      </w:r>
      <w:r w:rsidR="005F0464" w:rsidRPr="005F0464">
        <w:rPr>
          <w:vertAlign w:val="superscript"/>
          <w:lang w:val="en-US"/>
        </w:rPr>
        <w:t>1</w:t>
      </w:r>
      <w:r>
        <w:rPr>
          <w:lang w:val="en-US"/>
        </w:rPr>
        <w:t xml:space="preserve">, </w:t>
      </w:r>
      <w:r w:rsidR="00356820">
        <w:rPr>
          <w:lang w:val="en-US"/>
        </w:rPr>
        <w:t>Emmanuel Boss</w:t>
      </w:r>
      <w:r w:rsidR="005F0464" w:rsidRPr="005F0464">
        <w:rPr>
          <w:vertAlign w:val="superscript"/>
          <w:lang w:val="en-US"/>
        </w:rPr>
        <w:t>1</w:t>
      </w:r>
      <w:r>
        <w:rPr>
          <w:lang w:val="en-US"/>
        </w:rPr>
        <w:t>, and Lynne Talley</w:t>
      </w:r>
      <w:r w:rsidR="005F0464">
        <w:rPr>
          <w:vertAlign w:val="superscript"/>
          <w:lang w:val="en-US"/>
        </w:rPr>
        <w:t>2</w:t>
      </w:r>
    </w:p>
    <w:p w14:paraId="37BBEFDD" w14:textId="000918B7" w:rsidR="00356820" w:rsidRPr="00CA6497" w:rsidRDefault="005F0464" w:rsidP="00356820">
      <w:pPr>
        <w:jc w:val="center"/>
        <w:rPr>
          <w:lang w:val="en-US"/>
        </w:rPr>
      </w:pPr>
      <w:r w:rsidRPr="005F0464">
        <w:rPr>
          <w:vertAlign w:val="superscript"/>
          <w:lang w:val="en-US"/>
        </w:rPr>
        <w:t>1</w:t>
      </w:r>
      <w:r w:rsidR="00356820" w:rsidRPr="00CA6497">
        <w:rPr>
          <w:lang w:val="en-US"/>
        </w:rPr>
        <w:t>University of Maine</w:t>
      </w:r>
      <w:r>
        <w:rPr>
          <w:lang w:val="en-US"/>
        </w:rPr>
        <w:t xml:space="preserve">, </w:t>
      </w:r>
      <w:r>
        <w:rPr>
          <w:vertAlign w:val="superscript"/>
          <w:lang w:val="en-US"/>
        </w:rPr>
        <w:t>2</w:t>
      </w:r>
      <w:r w:rsidRPr="005F0464">
        <w:rPr>
          <w:lang w:val="en-US"/>
        </w:rPr>
        <w:t>Scripps Institution of Oceanography</w:t>
      </w:r>
    </w:p>
    <w:p w14:paraId="3FEDBA0A" w14:textId="7A98C53A" w:rsidR="00356820" w:rsidRPr="00CA6497" w:rsidRDefault="00477AD8" w:rsidP="00356820">
      <w:pPr>
        <w:jc w:val="center"/>
        <w:rPr>
          <w:lang w:val="en-US"/>
        </w:rPr>
      </w:pPr>
      <w:r>
        <w:rPr>
          <w:lang w:val="en-US"/>
        </w:rPr>
        <w:t xml:space="preserve">January </w:t>
      </w:r>
      <w:r w:rsidR="003B4602">
        <w:rPr>
          <w:lang w:val="en-US"/>
        </w:rPr>
        <w:t>31</w:t>
      </w:r>
      <w:r>
        <w:rPr>
          <w:lang w:val="en-US"/>
        </w:rPr>
        <w:t>, 2018</w:t>
      </w:r>
    </w:p>
    <w:p w14:paraId="1E06F9C9" w14:textId="77777777" w:rsidR="00356820" w:rsidRPr="00CA6497" w:rsidRDefault="00356820" w:rsidP="00356820">
      <w:pPr>
        <w:jc w:val="center"/>
        <w:rPr>
          <w:lang w:val="en-US"/>
        </w:rPr>
      </w:pPr>
    </w:p>
    <w:p w14:paraId="3D0C7366" w14:textId="008EBE5D" w:rsidR="001A79B8" w:rsidRPr="003B4602" w:rsidRDefault="00356820" w:rsidP="003B4602">
      <w:pPr>
        <w:rPr>
          <w:b/>
          <w:lang w:val="en-US"/>
        </w:rPr>
      </w:pPr>
      <w:r>
        <w:rPr>
          <w:b/>
          <w:lang w:val="en-US"/>
        </w:rPr>
        <w:t>Sample collection</w:t>
      </w:r>
    </w:p>
    <w:p w14:paraId="719C537C" w14:textId="77777777" w:rsidR="003B4602" w:rsidRDefault="003B4602" w:rsidP="003B4602">
      <w:pPr>
        <w:jc w:val="both"/>
        <w:rPr>
          <w:lang w:val="en-US"/>
        </w:rPr>
      </w:pPr>
      <w:r>
        <w:rPr>
          <w:lang w:val="en-US"/>
        </w:rPr>
        <w:t>N</w:t>
      </w:r>
      <w:r w:rsidRPr="007F2163">
        <w:rPr>
          <w:lang w:val="en-US"/>
        </w:rPr>
        <w:t xml:space="preserve">ear-surface samples from SOCCOM CTD stations were taken for </w:t>
      </w:r>
      <w:r>
        <w:rPr>
          <w:lang w:val="en-US"/>
        </w:rPr>
        <w:t xml:space="preserve">POC </w:t>
      </w:r>
      <w:r w:rsidRPr="007F2163">
        <w:rPr>
          <w:lang w:val="en-US"/>
        </w:rPr>
        <w:t xml:space="preserve">analysis. </w:t>
      </w:r>
      <w:r w:rsidRPr="00036633">
        <w:rPr>
          <w:lang w:val="en-US"/>
        </w:rPr>
        <w:t>Clean transfer fro</w:t>
      </w:r>
      <w:r>
        <w:rPr>
          <w:lang w:val="en-US"/>
        </w:rPr>
        <w:t xml:space="preserve">m the </w:t>
      </w:r>
      <w:proofErr w:type="spellStart"/>
      <w:r>
        <w:rPr>
          <w:lang w:val="en-US"/>
        </w:rPr>
        <w:t>niskins</w:t>
      </w:r>
      <w:proofErr w:type="spellEnd"/>
      <w:r>
        <w:rPr>
          <w:lang w:val="en-US"/>
        </w:rPr>
        <w:t xml:space="preserve"> (&lt;210 μm to remove </w:t>
      </w:r>
      <w:r w:rsidRPr="00036633">
        <w:rPr>
          <w:lang w:val="en-US"/>
        </w:rPr>
        <w:t>zooplankton) to a closed dedicated filtration rig</w:t>
      </w:r>
      <w:r>
        <w:rPr>
          <w:lang w:val="en-US"/>
        </w:rPr>
        <w:t xml:space="preserve">. The samples were size fractionated in: total POC and </w:t>
      </w:r>
      <w:r w:rsidRPr="00036633">
        <w:rPr>
          <w:lang w:val="en-US"/>
        </w:rPr>
        <w:t>POC&lt;20</w:t>
      </w:r>
      <w:r>
        <w:rPr>
          <w:lang w:val="en-US"/>
        </w:rPr>
        <w:t xml:space="preserve"> μ</w:t>
      </w:r>
      <w:r w:rsidRPr="00036633">
        <w:rPr>
          <w:lang w:val="en-US"/>
        </w:rPr>
        <w:t>m. 20% of the filter area was removed for biogenic silica digest.</w:t>
      </w:r>
      <w:r>
        <w:rPr>
          <w:lang w:val="en-US"/>
        </w:rPr>
        <w:t xml:space="preserve"> Volume filtered varied from </w:t>
      </w:r>
      <w:r w:rsidRPr="007F2163">
        <w:rPr>
          <w:lang w:val="en-US"/>
        </w:rPr>
        <w:t>1</w:t>
      </w:r>
      <w:r>
        <w:rPr>
          <w:lang w:val="en-US"/>
        </w:rPr>
        <w:t xml:space="preserve"> to 2 L, </w:t>
      </w:r>
      <w:r w:rsidRPr="00036633">
        <w:rPr>
          <w:lang w:val="en-US"/>
        </w:rPr>
        <w:t>the choice be</w:t>
      </w:r>
      <w:r>
        <w:rPr>
          <w:lang w:val="en-US"/>
        </w:rPr>
        <w:t xml:space="preserve">ing dependent on CTD </w:t>
      </w:r>
      <w:r w:rsidRPr="00036633">
        <w:rPr>
          <w:lang w:val="en-US"/>
        </w:rPr>
        <w:t>transmissometer and underway CO</w:t>
      </w:r>
      <w:r w:rsidRPr="00036633">
        <w:rPr>
          <w:vertAlign w:val="subscript"/>
          <w:lang w:val="en-US"/>
        </w:rPr>
        <w:t>2</w:t>
      </w:r>
      <w:r w:rsidRPr="00036633">
        <w:rPr>
          <w:lang w:val="en-US"/>
        </w:rPr>
        <w:t xml:space="preserve"> data to achieve maximum loading without blockage</w:t>
      </w:r>
      <w:r>
        <w:rPr>
          <w:lang w:val="en-US"/>
        </w:rPr>
        <w:t>.</w:t>
      </w:r>
      <w:r w:rsidRPr="007F2163">
        <w:rPr>
          <w:lang w:val="en-US"/>
        </w:rPr>
        <w:t xml:space="preserve"> </w:t>
      </w:r>
      <w:r>
        <w:rPr>
          <w:lang w:val="en-US"/>
        </w:rPr>
        <w:t xml:space="preserve">Filters used were </w:t>
      </w:r>
      <w:proofErr w:type="spellStart"/>
      <w:r w:rsidRPr="00036633">
        <w:rPr>
          <w:lang w:val="en-US"/>
        </w:rPr>
        <w:t>Sterlitech</w:t>
      </w:r>
      <w:proofErr w:type="spellEnd"/>
      <w:r w:rsidRPr="00036633">
        <w:rPr>
          <w:lang w:val="en-US"/>
        </w:rPr>
        <w:t xml:space="preserve"> 1.2um silver membrane 13mm diameter.</w:t>
      </w:r>
    </w:p>
    <w:p w14:paraId="0AF133B2" w14:textId="77777777" w:rsidR="00356820" w:rsidRDefault="00356820" w:rsidP="00356820">
      <w:pPr>
        <w:jc w:val="both"/>
        <w:rPr>
          <w:lang w:val="en-US"/>
        </w:rPr>
      </w:pPr>
    </w:p>
    <w:p w14:paraId="1978008D" w14:textId="77777777" w:rsidR="0063447E" w:rsidRDefault="0063447E" w:rsidP="0063447E">
      <w:pPr>
        <w:jc w:val="both"/>
        <w:rPr>
          <w:lang w:val="en-US"/>
        </w:rPr>
      </w:pPr>
      <w:r>
        <w:rPr>
          <w:lang w:val="en-US"/>
        </w:rPr>
        <w:t>More information on the cruise are available at:</w:t>
      </w:r>
    </w:p>
    <w:p w14:paraId="2BB9D48D" w14:textId="77777777" w:rsidR="0063447E" w:rsidRDefault="00AA54BF" w:rsidP="0063447E">
      <w:pPr>
        <w:jc w:val="both"/>
        <w:rPr>
          <w:lang w:val="en-US"/>
        </w:rPr>
      </w:pPr>
      <w:hyperlink r:id="rId4" w:history="1">
        <w:r w:rsidR="0063447E" w:rsidRPr="00703A0F">
          <w:rPr>
            <w:rStyle w:val="Hyperlink"/>
            <w:lang w:val="en-US"/>
          </w:rPr>
          <w:t>https://soccom.princeton.edu/content/shipboard-data-reports</w:t>
        </w:r>
      </w:hyperlink>
    </w:p>
    <w:p w14:paraId="6393001B" w14:textId="77777777" w:rsidR="0063447E" w:rsidRDefault="0063447E" w:rsidP="00356820">
      <w:pPr>
        <w:jc w:val="both"/>
        <w:rPr>
          <w:lang w:val="en-US"/>
        </w:rPr>
      </w:pPr>
    </w:p>
    <w:p w14:paraId="6258EAF6" w14:textId="77777777" w:rsidR="00356820" w:rsidRPr="00356820" w:rsidRDefault="00356820" w:rsidP="00356820">
      <w:pPr>
        <w:jc w:val="both"/>
        <w:rPr>
          <w:b/>
          <w:lang w:val="en-US"/>
        </w:rPr>
      </w:pPr>
      <w:r w:rsidRPr="00356820">
        <w:rPr>
          <w:b/>
          <w:lang w:val="en-US"/>
        </w:rPr>
        <w:t>Analysis description</w:t>
      </w:r>
    </w:p>
    <w:p w14:paraId="477C9EED" w14:textId="77777777" w:rsidR="003B4602" w:rsidRDefault="003B4602" w:rsidP="003B4602">
      <w:pPr>
        <w:jc w:val="both"/>
      </w:pPr>
      <w:r w:rsidRPr="003B4602">
        <w:t>A DOC adsorption blank, to account for contamination and diss</w:t>
      </w:r>
      <w:r>
        <w:t xml:space="preserve">olved organic carbon (DOC), was </w:t>
      </w:r>
      <w:r w:rsidRPr="003B4602">
        <w:t>taken during sampling by stacking two filters in the filtration funne</w:t>
      </w:r>
      <w:r>
        <w:t xml:space="preserve">ls and filtering the sample as </w:t>
      </w:r>
      <w:r w:rsidRPr="003B4602">
        <w:t>normal. The upper filter will be the total (dissolved and particula</w:t>
      </w:r>
      <w:r>
        <w:t xml:space="preserve">te) organic carbon and nitrogen </w:t>
      </w:r>
      <w:r w:rsidRPr="003B4602">
        <w:t xml:space="preserve">sample and the bottom filter will be the DOC adsorption blank. </w:t>
      </w:r>
      <w:r>
        <w:t xml:space="preserve">The organic carbon and nitrogen </w:t>
      </w:r>
      <w:r w:rsidRPr="003B4602">
        <w:t>from the DOC adsorption blank was removed from the concentration o</w:t>
      </w:r>
      <w:r>
        <w:t xml:space="preserve">f the total filters to retrieve </w:t>
      </w:r>
      <w:r w:rsidRPr="003B4602">
        <w:t>particulate organic carbon (POC).</w:t>
      </w:r>
      <w:r w:rsidRPr="003B4602">
        <w:cr/>
      </w:r>
    </w:p>
    <w:p w14:paraId="2F9282E4" w14:textId="77777777" w:rsidR="003B4602" w:rsidRDefault="003B4602" w:rsidP="003B4602">
      <w:pPr>
        <w:jc w:val="both"/>
      </w:pPr>
      <w:r w:rsidRPr="003B4602">
        <w:t>All samples (including blanks) were acidified to get rid of inorganic carbon and nitrogen.</w:t>
      </w:r>
      <w:r w:rsidRPr="003B4602">
        <w:cr/>
      </w:r>
    </w:p>
    <w:p w14:paraId="47B45A24" w14:textId="3DC698FE" w:rsidR="003B4602" w:rsidRDefault="003B4602" w:rsidP="003B4602">
      <w:pPr>
        <w:jc w:val="both"/>
      </w:pPr>
      <w:r w:rsidRPr="003B4602">
        <w:t xml:space="preserve">The air-dried filters (60C) were analysed on 30/6/2016 for CTD4 </w:t>
      </w:r>
      <w:r>
        <w:t xml:space="preserve">and 6, 11/7/2016 for CTD 44. </w:t>
      </w:r>
      <w:r w:rsidRPr="003B4602">
        <w:t xml:space="preserve">The </w:t>
      </w:r>
      <w:bookmarkStart w:id="0" w:name="_GoBack"/>
      <w:proofErr w:type="spellStart"/>
      <w:r w:rsidRPr="003B4602">
        <w:t>decarbonated</w:t>
      </w:r>
      <w:proofErr w:type="spellEnd"/>
      <w:r w:rsidRPr="003B4602">
        <w:t xml:space="preserve"> </w:t>
      </w:r>
      <w:bookmarkEnd w:id="0"/>
      <w:r w:rsidRPr="003B4602">
        <w:t>encapsulated POC samples were analysed by el</w:t>
      </w:r>
      <w:r>
        <w:t xml:space="preserve">emental analysis at the Central </w:t>
      </w:r>
      <w:r w:rsidRPr="003B4602">
        <w:t>Science Laboratory, University of Tasmania by Dr Thoma</w:t>
      </w:r>
      <w:r>
        <w:t xml:space="preserve">s </w:t>
      </w:r>
      <w:proofErr w:type="spellStart"/>
      <w:r>
        <w:t>Rodemann</w:t>
      </w:r>
      <w:proofErr w:type="spellEnd"/>
      <w:r>
        <w:t xml:space="preserve"> (EA TCD 960C, single </w:t>
      </w:r>
      <w:r w:rsidRPr="003B4602">
        <w:t>point standardisation every 12 samples).</w:t>
      </w:r>
      <w:r w:rsidRPr="003B4602">
        <w:cr/>
      </w:r>
    </w:p>
    <w:p w14:paraId="5F1BFFEA" w14:textId="44CEAC4A" w:rsidR="00057DF3" w:rsidRDefault="003B4602">
      <w:r w:rsidRPr="003B4602">
        <w:rPr>
          <w:b/>
        </w:rPr>
        <w:t>Abbreviations</w:t>
      </w:r>
      <w:r w:rsidRPr="003B4602">
        <w:rPr>
          <w:b/>
        </w:rPr>
        <w:cr/>
      </w:r>
      <w:r w:rsidRPr="003B4602">
        <w:t>DOC: Dissolved Organic Carbon</w:t>
      </w:r>
      <w:r w:rsidRPr="003B4602">
        <w:cr/>
        <w:t>POC: Particulate Organic Carbon</w:t>
      </w:r>
      <w:r w:rsidR="00057DF3">
        <w:br w:type="page"/>
      </w:r>
    </w:p>
    <w:p w14:paraId="314A5B5C" w14:textId="7D09A396" w:rsidR="00356820" w:rsidRDefault="00057DF3" w:rsidP="00057DF3">
      <w:pPr>
        <w:jc w:val="center"/>
      </w:pPr>
      <w:r>
        <w:lastRenderedPageBreak/>
        <w:t>##############################################################################</w:t>
      </w:r>
    </w:p>
    <w:p w14:paraId="1ED71DCC" w14:textId="4BA6FF00" w:rsidR="00057DF3" w:rsidRDefault="00792E8C" w:rsidP="00057DF3">
      <w:pPr>
        <w:jc w:val="center"/>
      </w:pPr>
      <w:r>
        <w:t>METHODS #</w:t>
      </w:r>
      <w:r w:rsidR="00F42E09">
        <w:t xml:space="preserve"> DO NOT INCLUDE THIS SECTION IN PDF</w:t>
      </w:r>
    </w:p>
    <w:p w14:paraId="31DD58FE" w14:textId="77777777" w:rsidR="00057DF3" w:rsidRDefault="00057DF3" w:rsidP="00057DF3">
      <w:pPr>
        <w:jc w:val="center"/>
      </w:pPr>
      <w:r>
        <w:t>##############################################################################</w:t>
      </w:r>
    </w:p>
    <w:p w14:paraId="3D9ED03C" w14:textId="77777777" w:rsidR="00057DF3" w:rsidRDefault="00057DF3" w:rsidP="00356820">
      <w:pPr>
        <w:jc w:val="both"/>
      </w:pPr>
    </w:p>
    <w:p w14:paraId="2E717FB7" w14:textId="3304EA7D" w:rsidR="008E42B1" w:rsidRPr="008E42B1" w:rsidRDefault="008E42B1" w:rsidP="00356820">
      <w:pPr>
        <w:jc w:val="both"/>
        <w:rPr>
          <w:lang w:val="en-US"/>
        </w:rPr>
      </w:pPr>
      <w:r>
        <w:rPr>
          <w:lang w:val="en-US"/>
        </w:rPr>
        <w:t>N</w:t>
      </w:r>
      <w:r w:rsidRPr="007F2163">
        <w:rPr>
          <w:lang w:val="en-US"/>
        </w:rPr>
        <w:t xml:space="preserve">ear-surface samples from SOCCOM CTD stations were taken for </w:t>
      </w:r>
      <w:r>
        <w:rPr>
          <w:lang w:val="en-US"/>
        </w:rPr>
        <w:t>POC &amp; PON</w:t>
      </w:r>
      <w:r w:rsidRPr="007F2163">
        <w:rPr>
          <w:lang w:val="en-US"/>
        </w:rPr>
        <w:t xml:space="preserve"> analysis. 1</w:t>
      </w:r>
      <w:r>
        <w:rPr>
          <w:lang w:val="en-US"/>
        </w:rPr>
        <w:t xml:space="preserve">-2 </w:t>
      </w:r>
      <w:r w:rsidRPr="007F2163">
        <w:rPr>
          <w:lang w:val="en-US"/>
        </w:rPr>
        <w:t xml:space="preserve">L of sample was filtered in the </w:t>
      </w:r>
      <w:r>
        <w:rPr>
          <w:lang w:val="en-US"/>
        </w:rPr>
        <w:t>dark through glass fiber filter (GF/F) having a diameter of 25 mm</w:t>
      </w:r>
      <w:r w:rsidRPr="007F2163">
        <w:rPr>
          <w:lang w:val="en-US"/>
        </w:rPr>
        <w:t>. Filters were immediately stored in alumin</w:t>
      </w:r>
      <w:r>
        <w:rPr>
          <w:lang w:val="en-US"/>
        </w:rPr>
        <w:t>iu</w:t>
      </w:r>
      <w:r w:rsidRPr="007F2163">
        <w:rPr>
          <w:lang w:val="en-US"/>
        </w:rPr>
        <w:t>m foil packages in a liquid nitrogen</w:t>
      </w:r>
      <w:r>
        <w:rPr>
          <w:lang w:val="en-US"/>
        </w:rPr>
        <w:t xml:space="preserve"> Dewar (-80 ºC)</w:t>
      </w:r>
      <w:r w:rsidRPr="007F2163">
        <w:rPr>
          <w:lang w:val="en-US"/>
        </w:rPr>
        <w:t>.</w:t>
      </w:r>
      <w:r>
        <w:rPr>
          <w:lang w:val="en-US"/>
        </w:rPr>
        <w:t xml:space="preserve"> </w:t>
      </w:r>
    </w:p>
    <w:p w14:paraId="71D3D070" w14:textId="416AF21C" w:rsidR="008E42B1" w:rsidRDefault="008E42B1" w:rsidP="00356820">
      <w:pPr>
        <w:jc w:val="both"/>
        <w:rPr>
          <w:b/>
        </w:rPr>
      </w:pPr>
    </w:p>
    <w:p w14:paraId="58F8F3A1" w14:textId="0EAF8E15" w:rsidR="00945BC8" w:rsidRDefault="00945BC8" w:rsidP="00945BC8">
      <w:pPr>
        <w:jc w:val="both"/>
        <w:rPr>
          <w:lang w:val="en-US"/>
        </w:rPr>
      </w:pPr>
      <w:r>
        <w:rPr>
          <w:lang w:val="en-US"/>
        </w:rPr>
        <w:t>N</w:t>
      </w:r>
      <w:r w:rsidRPr="007F2163">
        <w:rPr>
          <w:lang w:val="en-US"/>
        </w:rPr>
        <w:t xml:space="preserve">ear-surface samples from SOCCOM CTD stations were taken for </w:t>
      </w:r>
      <w:r>
        <w:rPr>
          <w:lang w:val="en-US"/>
        </w:rPr>
        <w:t xml:space="preserve">POC </w:t>
      </w:r>
      <w:r w:rsidRPr="007F2163">
        <w:rPr>
          <w:lang w:val="en-US"/>
        </w:rPr>
        <w:t xml:space="preserve">analysis. </w:t>
      </w:r>
      <w:r w:rsidRPr="00036633">
        <w:rPr>
          <w:lang w:val="en-US"/>
        </w:rPr>
        <w:t>Clean transfer fro</w:t>
      </w:r>
      <w:r>
        <w:rPr>
          <w:lang w:val="en-US"/>
        </w:rPr>
        <w:t xml:space="preserve">m the </w:t>
      </w:r>
      <w:proofErr w:type="spellStart"/>
      <w:r>
        <w:rPr>
          <w:lang w:val="en-US"/>
        </w:rPr>
        <w:t>niskins</w:t>
      </w:r>
      <w:proofErr w:type="spellEnd"/>
      <w:r>
        <w:rPr>
          <w:lang w:val="en-US"/>
        </w:rPr>
        <w:t xml:space="preserve"> (&lt;210 μm to remove </w:t>
      </w:r>
      <w:r w:rsidRPr="00036633">
        <w:rPr>
          <w:lang w:val="en-US"/>
        </w:rPr>
        <w:t>zooplankton) to a closed dedicated filtration rig</w:t>
      </w:r>
      <w:r>
        <w:rPr>
          <w:lang w:val="en-US"/>
        </w:rPr>
        <w:t xml:space="preserve">. The samples were size fractionated in: total POC and </w:t>
      </w:r>
      <w:r w:rsidRPr="00036633">
        <w:rPr>
          <w:lang w:val="en-US"/>
        </w:rPr>
        <w:t>POC&lt;20</w:t>
      </w:r>
      <w:r>
        <w:rPr>
          <w:lang w:val="en-US"/>
        </w:rPr>
        <w:t xml:space="preserve"> μ</w:t>
      </w:r>
      <w:r w:rsidRPr="00036633">
        <w:rPr>
          <w:lang w:val="en-US"/>
        </w:rPr>
        <w:t>m. 20% of the filter area was removed for biogenic silica digest.</w:t>
      </w:r>
      <w:r>
        <w:rPr>
          <w:lang w:val="en-US"/>
        </w:rPr>
        <w:t xml:space="preserve"> Volume filtered varied from </w:t>
      </w:r>
      <w:r w:rsidRPr="007F2163">
        <w:rPr>
          <w:lang w:val="en-US"/>
        </w:rPr>
        <w:t>1</w:t>
      </w:r>
      <w:r>
        <w:rPr>
          <w:lang w:val="en-US"/>
        </w:rPr>
        <w:t xml:space="preserve"> to 2 L, </w:t>
      </w:r>
      <w:r w:rsidRPr="00036633">
        <w:rPr>
          <w:lang w:val="en-US"/>
        </w:rPr>
        <w:t>the choice be</w:t>
      </w:r>
      <w:r>
        <w:rPr>
          <w:lang w:val="en-US"/>
        </w:rPr>
        <w:t xml:space="preserve">ing dependent on CTD </w:t>
      </w:r>
      <w:r w:rsidRPr="00036633">
        <w:rPr>
          <w:lang w:val="en-US"/>
        </w:rPr>
        <w:t>transmissometer and underway CO</w:t>
      </w:r>
      <w:r w:rsidRPr="00036633">
        <w:rPr>
          <w:vertAlign w:val="subscript"/>
          <w:lang w:val="en-US"/>
        </w:rPr>
        <w:t>2</w:t>
      </w:r>
      <w:r w:rsidRPr="00036633">
        <w:rPr>
          <w:lang w:val="en-US"/>
        </w:rPr>
        <w:t xml:space="preserve"> data to achieve maximum loading without blockage</w:t>
      </w:r>
      <w:r>
        <w:rPr>
          <w:lang w:val="en-US"/>
        </w:rPr>
        <w:t>.</w:t>
      </w:r>
      <w:r w:rsidRPr="007F2163">
        <w:rPr>
          <w:lang w:val="en-US"/>
        </w:rPr>
        <w:t xml:space="preserve"> </w:t>
      </w:r>
      <w:r>
        <w:rPr>
          <w:lang w:val="en-US"/>
        </w:rPr>
        <w:t xml:space="preserve">Filters used were </w:t>
      </w:r>
      <w:proofErr w:type="spellStart"/>
      <w:r w:rsidRPr="00036633">
        <w:rPr>
          <w:lang w:val="en-US"/>
        </w:rPr>
        <w:t>Sterlitech</w:t>
      </w:r>
      <w:proofErr w:type="spellEnd"/>
      <w:r w:rsidRPr="00036633">
        <w:rPr>
          <w:lang w:val="en-US"/>
        </w:rPr>
        <w:t xml:space="preserve"> 1.2um silver membrane 13mm diameter.</w:t>
      </w:r>
    </w:p>
    <w:p w14:paraId="3ED6FEC7" w14:textId="5081A2A7" w:rsidR="00945BC8" w:rsidRDefault="00945BC8" w:rsidP="00356820">
      <w:pPr>
        <w:jc w:val="both"/>
        <w:rPr>
          <w:b/>
          <w:lang w:val="en-US"/>
        </w:rPr>
      </w:pPr>
    </w:p>
    <w:p w14:paraId="6053D596" w14:textId="77777777" w:rsidR="001A79B8" w:rsidRDefault="001A79B8" w:rsidP="001A79B8">
      <w:pPr>
        <w:jc w:val="both"/>
        <w:rPr>
          <w:lang w:val="en-US"/>
        </w:rPr>
      </w:pPr>
      <w:r>
        <w:rPr>
          <w:lang w:val="en-US"/>
        </w:rPr>
        <w:t>N</w:t>
      </w:r>
      <w:r w:rsidRPr="007F2163">
        <w:rPr>
          <w:lang w:val="en-US"/>
        </w:rPr>
        <w:t xml:space="preserve">ear-surface samples from SOCCOM CTD stations were taken for </w:t>
      </w:r>
      <w:r>
        <w:rPr>
          <w:lang w:val="en-US"/>
        </w:rPr>
        <w:t xml:space="preserve">POC </w:t>
      </w:r>
      <w:r w:rsidRPr="007F2163">
        <w:rPr>
          <w:lang w:val="en-US"/>
        </w:rPr>
        <w:t xml:space="preserve">analysis. </w:t>
      </w:r>
      <w:r w:rsidRPr="00036633">
        <w:rPr>
          <w:lang w:val="en-US"/>
        </w:rPr>
        <w:t>Clean transfer fro</w:t>
      </w:r>
      <w:r>
        <w:rPr>
          <w:lang w:val="en-US"/>
        </w:rPr>
        <w:t xml:space="preserve">m the </w:t>
      </w:r>
      <w:proofErr w:type="spellStart"/>
      <w:r>
        <w:rPr>
          <w:lang w:val="en-US"/>
        </w:rPr>
        <w:t>niskins</w:t>
      </w:r>
      <w:proofErr w:type="spellEnd"/>
      <w:r>
        <w:rPr>
          <w:lang w:val="en-US"/>
        </w:rPr>
        <w:t xml:space="preserve"> (&lt;210 μm to remove </w:t>
      </w:r>
      <w:r w:rsidRPr="00036633">
        <w:rPr>
          <w:lang w:val="en-US"/>
        </w:rPr>
        <w:t>zooplankton) to a closed dedicated filtration rig</w:t>
      </w:r>
      <w:r>
        <w:rPr>
          <w:lang w:val="en-US"/>
        </w:rPr>
        <w:t xml:space="preserve">. The samples were size fractionated in: total POC and </w:t>
      </w:r>
      <w:r w:rsidRPr="00036633">
        <w:rPr>
          <w:lang w:val="en-US"/>
        </w:rPr>
        <w:t>POC&lt;20</w:t>
      </w:r>
      <w:r>
        <w:rPr>
          <w:lang w:val="en-US"/>
        </w:rPr>
        <w:t xml:space="preserve"> μ</w:t>
      </w:r>
      <w:r w:rsidRPr="00036633">
        <w:rPr>
          <w:lang w:val="en-US"/>
        </w:rPr>
        <w:t>m. 20% of the filter area was removed for biogenic silica digest.</w:t>
      </w:r>
      <w:r>
        <w:rPr>
          <w:lang w:val="en-US"/>
        </w:rPr>
        <w:t xml:space="preserve"> Volume filtered varied from </w:t>
      </w:r>
      <w:r w:rsidRPr="007F2163">
        <w:rPr>
          <w:lang w:val="en-US"/>
        </w:rPr>
        <w:t>1</w:t>
      </w:r>
      <w:r>
        <w:rPr>
          <w:lang w:val="en-US"/>
        </w:rPr>
        <w:t xml:space="preserve"> to 2 L</w:t>
      </w:r>
      <w:r w:rsidRPr="00036633">
        <w:rPr>
          <w:lang w:val="en-US"/>
        </w:rPr>
        <w:t xml:space="preserve"> to achieve maximum loading without blockage</w:t>
      </w:r>
      <w:r>
        <w:rPr>
          <w:lang w:val="en-US"/>
        </w:rPr>
        <w:t>.</w:t>
      </w:r>
      <w:r w:rsidRPr="007F2163">
        <w:rPr>
          <w:lang w:val="en-US"/>
        </w:rPr>
        <w:t xml:space="preserve"> </w:t>
      </w:r>
      <w:r>
        <w:rPr>
          <w:lang w:val="en-US"/>
        </w:rPr>
        <w:t xml:space="preserve">Filters used were </w:t>
      </w:r>
      <w:proofErr w:type="spellStart"/>
      <w:r w:rsidRPr="00036633">
        <w:rPr>
          <w:lang w:val="en-US"/>
        </w:rPr>
        <w:t>Sterlitech</w:t>
      </w:r>
      <w:proofErr w:type="spellEnd"/>
      <w:r w:rsidRPr="00036633">
        <w:rPr>
          <w:lang w:val="en-US"/>
        </w:rPr>
        <w:t xml:space="preserve"> 1.2um silver membrane 13mm diameter.</w:t>
      </w:r>
    </w:p>
    <w:p w14:paraId="1849BFE8" w14:textId="77777777" w:rsidR="001A79B8" w:rsidRPr="00945BC8" w:rsidRDefault="001A79B8" w:rsidP="00356820">
      <w:pPr>
        <w:jc w:val="both"/>
        <w:rPr>
          <w:b/>
          <w:lang w:val="en-US"/>
        </w:rPr>
      </w:pPr>
    </w:p>
    <w:p w14:paraId="31AC7E02" w14:textId="77777777" w:rsidR="00945BC8" w:rsidRDefault="00945BC8" w:rsidP="00356820">
      <w:pPr>
        <w:jc w:val="both"/>
        <w:rPr>
          <w:b/>
        </w:rPr>
      </w:pPr>
    </w:p>
    <w:p w14:paraId="13ABD348" w14:textId="533D4D85" w:rsidR="00057DF3" w:rsidRPr="00057DF3" w:rsidRDefault="00057DF3" w:rsidP="00356820">
      <w:pPr>
        <w:jc w:val="both"/>
        <w:rPr>
          <w:b/>
        </w:rPr>
      </w:pPr>
      <w:r>
        <w:rPr>
          <w:b/>
        </w:rPr>
        <w:t>Dry</w:t>
      </w:r>
      <w:r w:rsidRPr="00057DF3">
        <w:rPr>
          <w:b/>
        </w:rPr>
        <w:t xml:space="preserve"> blank</w:t>
      </w:r>
      <w:r>
        <w:rPr>
          <w:b/>
        </w:rPr>
        <w:t xml:space="preserve"> method</w:t>
      </w:r>
    </w:p>
    <w:p w14:paraId="41D52B9A" w14:textId="75C12D01" w:rsidR="00057DF3" w:rsidRDefault="00057DF3" w:rsidP="00356820">
      <w:pPr>
        <w:jc w:val="both"/>
      </w:pPr>
      <w:r>
        <w:t>A dry blank (unused filter), to account for contamination was also taken at the time of sampling. To account for this contamination the POC and PON extracted from the dry blank was removed from the POC and PON extracted for each sample respectively. Unfortunately, a “wet” blank filter to account for the effect of dissolved organic carbon (DOC) and dissolved organic nitrogen (DON) adsorption was not taken.</w:t>
      </w:r>
    </w:p>
    <w:p w14:paraId="0C617453" w14:textId="77777777" w:rsidR="00057DF3" w:rsidRDefault="00057DF3" w:rsidP="00356820">
      <w:pPr>
        <w:jc w:val="both"/>
      </w:pPr>
    </w:p>
    <w:p w14:paraId="70AC61E6" w14:textId="557490AE" w:rsidR="00057DF3" w:rsidRPr="00057DF3" w:rsidRDefault="00057DF3" w:rsidP="00356820">
      <w:pPr>
        <w:jc w:val="both"/>
        <w:rPr>
          <w:b/>
        </w:rPr>
      </w:pPr>
      <w:r w:rsidRPr="00057DF3">
        <w:rPr>
          <w:b/>
        </w:rPr>
        <w:t>Wet blank method</w:t>
      </w:r>
    </w:p>
    <w:p w14:paraId="7958713F" w14:textId="6CE3ADA6" w:rsidR="00057DF3" w:rsidRDefault="006027C8" w:rsidP="00356820">
      <w:pPr>
        <w:jc w:val="both"/>
      </w:pPr>
      <w:r w:rsidRPr="006027C8">
        <w:t>A DOC/DON adsorption blank, to account for contamination and dissolved organic carbon (DOC) and nitrogen (DON), was taken during sampling by stacking two filters in the filtration funnels and filtering the sample as normal. The upper filter will be the total (dissolved and particulate) organic carbon and nitrogen sample and the bottom filter will be the DOC/DON adsorption blank. The organic carbon and nitrogen from the DOC/DON adsorption blank was removed from the concentration of the total filters to retrieve particulate organic carbon (POC) and nitrogen (PON).</w:t>
      </w:r>
    </w:p>
    <w:p w14:paraId="7589AA38" w14:textId="77777777" w:rsidR="00945BC8" w:rsidRDefault="00945BC8" w:rsidP="00356820">
      <w:pPr>
        <w:jc w:val="both"/>
      </w:pPr>
    </w:p>
    <w:p w14:paraId="54B2DD61" w14:textId="77777777" w:rsidR="00945BC8" w:rsidRDefault="00945BC8" w:rsidP="00945BC8">
      <w:pPr>
        <w:jc w:val="both"/>
      </w:pPr>
      <w:r w:rsidRPr="006027C8">
        <w:t>A DOC adsorption blank, to account for contamination and dissolved organic carbon (DOC</w:t>
      </w:r>
      <w:r>
        <w:t>)</w:t>
      </w:r>
      <w:r w:rsidRPr="006027C8">
        <w:t>, was taken during sampling by stacking two filters in the filtration funnels and filtering the sample as normal. The upper filter will be the total (dissolved and particulate) organic carbon and nitrogen sample and the bottom filter will be the DOC adsorption blank. The organic carbon and nitrogen from the DOC adsorption blank was removed from the concentration of the total filters to retrieve particulate organic carbon (POC)</w:t>
      </w:r>
      <w:r>
        <w:t>.</w:t>
      </w:r>
    </w:p>
    <w:p w14:paraId="71C3BD0E" w14:textId="77777777" w:rsidR="00216215" w:rsidRDefault="00216215" w:rsidP="00356820">
      <w:pPr>
        <w:jc w:val="both"/>
      </w:pPr>
    </w:p>
    <w:p w14:paraId="7D38A7D6" w14:textId="77777777" w:rsidR="00216215" w:rsidRDefault="00216215" w:rsidP="00356820">
      <w:pPr>
        <w:jc w:val="both"/>
      </w:pPr>
    </w:p>
    <w:p w14:paraId="4947AC40" w14:textId="77777777" w:rsidR="00945BC8" w:rsidRDefault="00945BC8" w:rsidP="00945BC8">
      <w:pPr>
        <w:jc w:val="both"/>
      </w:pPr>
      <w:r>
        <w:t>Analysis were performed Nov 7, 2017 by Georges Paradis (</w:t>
      </w:r>
      <w:hyperlink r:id="rId5" w:history="1">
        <w:r w:rsidRPr="00AC7DAC">
          <w:rPr>
            <w:rStyle w:val="Hyperlink"/>
          </w:rPr>
          <w:t>georges.paradis@ucsb.edu</w:t>
        </w:r>
      </w:hyperlink>
      <w:r>
        <w:t xml:space="preserve">) following the method described at </w:t>
      </w:r>
      <w:hyperlink r:id="rId6" w:history="1">
        <w:r w:rsidRPr="00703A0F">
          <w:rPr>
            <w:rStyle w:val="Hyperlink"/>
          </w:rPr>
          <w:t>http://msi.ucsb.edu/services/analytical-lab/chn-analysis</w:t>
        </w:r>
      </w:hyperlink>
      <w:r>
        <w:t xml:space="preserve">. </w:t>
      </w:r>
    </w:p>
    <w:p w14:paraId="2EEF31F9" w14:textId="77777777" w:rsidR="00216215" w:rsidRDefault="00216215" w:rsidP="00356820">
      <w:pPr>
        <w:jc w:val="both"/>
      </w:pPr>
    </w:p>
    <w:p w14:paraId="1259FF56" w14:textId="77777777" w:rsidR="00A06B54" w:rsidRDefault="00A06B54" w:rsidP="00A06B54">
      <w:pPr>
        <w:jc w:val="both"/>
      </w:pPr>
      <w:r>
        <w:t xml:space="preserve">Analysis were performed by Dr Thomas </w:t>
      </w:r>
      <w:proofErr w:type="spellStart"/>
      <w:r>
        <w:t>Rodemann</w:t>
      </w:r>
      <w:proofErr w:type="spellEnd"/>
      <w:r w:rsidRPr="00A06B54">
        <w:t xml:space="preserve"> at the Central Science Laboratory, University of Tasmania</w:t>
      </w:r>
      <w:r>
        <w:t xml:space="preserve">, using a </w:t>
      </w:r>
      <w:proofErr w:type="spellStart"/>
      <w:r w:rsidRPr="008E7BD6">
        <w:t>Thermo</w:t>
      </w:r>
      <w:proofErr w:type="spellEnd"/>
      <w:r w:rsidRPr="008E7BD6">
        <w:t xml:space="preserve"> </w:t>
      </w:r>
      <w:proofErr w:type="spellStart"/>
      <w:r w:rsidRPr="008E7BD6">
        <w:t>Finnigan</w:t>
      </w:r>
      <w:proofErr w:type="spellEnd"/>
      <w:r w:rsidRPr="008E7BD6">
        <w:t xml:space="preserve"> EA 1112 Series Flash Elemental Analyser</w:t>
      </w:r>
      <w:r>
        <w:t>, following the method described at:</w:t>
      </w:r>
    </w:p>
    <w:p w14:paraId="21A5372C" w14:textId="77777777" w:rsidR="00A06B54" w:rsidRPr="008E7BD6" w:rsidRDefault="00AA54BF" w:rsidP="00A06B54">
      <w:pPr>
        <w:jc w:val="both"/>
        <w:rPr>
          <w:lang w:val="en-US"/>
        </w:rPr>
      </w:pPr>
      <w:hyperlink r:id="rId7" w:history="1">
        <w:r w:rsidR="00A06B54" w:rsidRPr="00A15FB0">
          <w:rPr>
            <w:rStyle w:val="Hyperlink"/>
          </w:rPr>
          <w:t>http://www.utas.edu.au/research/central-science-laboratory/facilities/elemental-analyser</w:t>
        </w:r>
      </w:hyperlink>
    </w:p>
    <w:p w14:paraId="591B33DC" w14:textId="77777777" w:rsidR="00216215" w:rsidRPr="00A06B54" w:rsidRDefault="00216215" w:rsidP="00356820">
      <w:pPr>
        <w:jc w:val="both"/>
        <w:rPr>
          <w:lang w:val="en-US"/>
        </w:rPr>
      </w:pPr>
    </w:p>
    <w:p w14:paraId="1C3961F6" w14:textId="374599C2" w:rsidR="008E7BD6" w:rsidRDefault="008E7BD6" w:rsidP="00356820">
      <w:pPr>
        <w:jc w:val="both"/>
      </w:pPr>
    </w:p>
    <w:p w14:paraId="71C20A2E" w14:textId="77777777" w:rsidR="00477AD8" w:rsidRDefault="00477AD8" w:rsidP="00477AD8">
      <w:pPr>
        <w:jc w:val="both"/>
        <w:rPr>
          <w:lang w:val="en-US"/>
        </w:rPr>
      </w:pPr>
      <w:r>
        <w:rPr>
          <w:lang w:val="en-US"/>
        </w:rPr>
        <w:t>Samples were shipped and analyzed at UCSB.</w:t>
      </w:r>
    </w:p>
    <w:p w14:paraId="04288152" w14:textId="20F5D21A" w:rsidR="00477AD8" w:rsidRPr="00477AD8" w:rsidRDefault="00477AD8" w:rsidP="00356820">
      <w:pPr>
        <w:jc w:val="both"/>
        <w:rPr>
          <w:lang w:val="en-US"/>
        </w:rPr>
      </w:pPr>
    </w:p>
    <w:p w14:paraId="1189E27A" w14:textId="77777777" w:rsidR="00477AD8" w:rsidRDefault="00477AD8" w:rsidP="00356820">
      <w:pPr>
        <w:jc w:val="both"/>
      </w:pPr>
    </w:p>
    <w:p w14:paraId="606FC90C" w14:textId="0720F3D8" w:rsidR="008E7BD6" w:rsidRDefault="008E7BD6" w:rsidP="00356820">
      <w:pPr>
        <w:jc w:val="both"/>
      </w:pPr>
      <w:r>
        <w:t>POH: Particulate Organic Hydrogen</w:t>
      </w:r>
    </w:p>
    <w:sectPr w:rsidR="008E7BD6" w:rsidSect="00C31363">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820"/>
    <w:rsid w:val="00036633"/>
    <w:rsid w:val="00051CD9"/>
    <w:rsid w:val="00057DF3"/>
    <w:rsid w:val="000C7EBA"/>
    <w:rsid w:val="000F14E2"/>
    <w:rsid w:val="0015081F"/>
    <w:rsid w:val="001A79B8"/>
    <w:rsid w:val="00216215"/>
    <w:rsid w:val="002935AC"/>
    <w:rsid w:val="00354ECB"/>
    <w:rsid w:val="00356820"/>
    <w:rsid w:val="003B4602"/>
    <w:rsid w:val="003C6FEA"/>
    <w:rsid w:val="003D06B9"/>
    <w:rsid w:val="00477AD8"/>
    <w:rsid w:val="00497763"/>
    <w:rsid w:val="005E4B76"/>
    <w:rsid w:val="005F0464"/>
    <w:rsid w:val="006027C8"/>
    <w:rsid w:val="0063447E"/>
    <w:rsid w:val="00792E8C"/>
    <w:rsid w:val="007C199E"/>
    <w:rsid w:val="007C53B6"/>
    <w:rsid w:val="007F3CDB"/>
    <w:rsid w:val="008E42B1"/>
    <w:rsid w:val="008E4C50"/>
    <w:rsid w:val="008E7BD6"/>
    <w:rsid w:val="00905E91"/>
    <w:rsid w:val="00945BC8"/>
    <w:rsid w:val="00995DC8"/>
    <w:rsid w:val="009C2329"/>
    <w:rsid w:val="009D6D5E"/>
    <w:rsid w:val="00A06B54"/>
    <w:rsid w:val="00A524F6"/>
    <w:rsid w:val="00AA120D"/>
    <w:rsid w:val="00AA54BF"/>
    <w:rsid w:val="00C31363"/>
    <w:rsid w:val="00C3230E"/>
    <w:rsid w:val="00C748C2"/>
    <w:rsid w:val="00CC2894"/>
    <w:rsid w:val="00CE568B"/>
    <w:rsid w:val="00DA0DC0"/>
    <w:rsid w:val="00DC07FE"/>
    <w:rsid w:val="00DC5732"/>
    <w:rsid w:val="00E1140B"/>
    <w:rsid w:val="00E574FF"/>
    <w:rsid w:val="00EA3E75"/>
    <w:rsid w:val="00EA423C"/>
    <w:rsid w:val="00ED528A"/>
    <w:rsid w:val="00F1664B"/>
    <w:rsid w:val="00F40F0A"/>
    <w:rsid w:val="00F42E09"/>
    <w:rsid w:val="00F65664"/>
    <w:rsid w:val="00FC5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64604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4602"/>
    <w:rPr>
      <w:rFonts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6B9"/>
    <w:rPr>
      <w:color w:val="0563C1" w:themeColor="hyperlink"/>
      <w:u w:val="single"/>
    </w:rPr>
  </w:style>
  <w:style w:type="character" w:styleId="FollowedHyperlink">
    <w:name w:val="FollowedHyperlink"/>
    <w:basedOn w:val="DefaultParagraphFont"/>
    <w:uiPriority w:val="99"/>
    <w:semiHidden/>
    <w:unhideWhenUsed/>
    <w:rsid w:val="00A06B54"/>
    <w:rPr>
      <w:color w:val="954F72" w:themeColor="followedHyperlink"/>
      <w:u w:val="single"/>
    </w:rPr>
  </w:style>
  <w:style w:type="character" w:styleId="UnresolvedMention">
    <w:name w:val="Unresolved Mention"/>
    <w:basedOn w:val="DefaultParagraphFont"/>
    <w:uiPriority w:val="99"/>
    <w:rsid w:val="00945B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577521">
      <w:bodyDiv w:val="1"/>
      <w:marLeft w:val="0"/>
      <w:marRight w:val="0"/>
      <w:marTop w:val="0"/>
      <w:marBottom w:val="0"/>
      <w:divBdr>
        <w:top w:val="none" w:sz="0" w:space="0" w:color="auto"/>
        <w:left w:val="none" w:sz="0" w:space="0" w:color="auto"/>
        <w:bottom w:val="none" w:sz="0" w:space="0" w:color="auto"/>
        <w:right w:val="none" w:sz="0" w:space="0" w:color="auto"/>
      </w:divBdr>
      <w:divsChild>
        <w:div w:id="1855921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93399">
              <w:marLeft w:val="0"/>
              <w:marRight w:val="0"/>
              <w:marTop w:val="0"/>
              <w:marBottom w:val="0"/>
              <w:divBdr>
                <w:top w:val="none" w:sz="0" w:space="0" w:color="auto"/>
                <w:left w:val="none" w:sz="0" w:space="0" w:color="auto"/>
                <w:bottom w:val="none" w:sz="0" w:space="0" w:color="auto"/>
                <w:right w:val="none" w:sz="0" w:space="0" w:color="auto"/>
              </w:divBdr>
              <w:divsChild>
                <w:div w:id="461995517">
                  <w:marLeft w:val="0"/>
                  <w:marRight w:val="0"/>
                  <w:marTop w:val="0"/>
                  <w:marBottom w:val="0"/>
                  <w:divBdr>
                    <w:top w:val="none" w:sz="0" w:space="0" w:color="auto"/>
                    <w:left w:val="none" w:sz="0" w:space="0" w:color="auto"/>
                    <w:bottom w:val="none" w:sz="0" w:space="0" w:color="auto"/>
                    <w:right w:val="none" w:sz="0" w:space="0" w:color="auto"/>
                  </w:divBdr>
                  <w:divsChild>
                    <w:div w:id="1278638399">
                      <w:marLeft w:val="0"/>
                      <w:marRight w:val="0"/>
                      <w:marTop w:val="0"/>
                      <w:marBottom w:val="0"/>
                      <w:divBdr>
                        <w:top w:val="none" w:sz="0" w:space="0" w:color="auto"/>
                        <w:left w:val="none" w:sz="0" w:space="0" w:color="auto"/>
                        <w:bottom w:val="none" w:sz="0" w:space="0" w:color="auto"/>
                        <w:right w:val="none" w:sz="0" w:space="0" w:color="auto"/>
                      </w:divBdr>
                      <w:divsChild>
                        <w:div w:id="1009328779">
                          <w:marLeft w:val="0"/>
                          <w:marRight w:val="0"/>
                          <w:marTop w:val="0"/>
                          <w:marBottom w:val="0"/>
                          <w:divBdr>
                            <w:top w:val="none" w:sz="0" w:space="0" w:color="auto"/>
                            <w:left w:val="none" w:sz="0" w:space="0" w:color="auto"/>
                            <w:bottom w:val="none" w:sz="0" w:space="0" w:color="auto"/>
                            <w:right w:val="none" w:sz="0" w:space="0" w:color="auto"/>
                          </w:divBdr>
                          <w:divsChild>
                            <w:div w:id="1894345423">
                              <w:marLeft w:val="0"/>
                              <w:marRight w:val="0"/>
                              <w:marTop w:val="0"/>
                              <w:marBottom w:val="0"/>
                              <w:divBdr>
                                <w:top w:val="none" w:sz="0" w:space="0" w:color="auto"/>
                                <w:left w:val="none" w:sz="0" w:space="0" w:color="auto"/>
                                <w:bottom w:val="none" w:sz="0" w:space="0" w:color="auto"/>
                                <w:right w:val="none" w:sz="0" w:space="0" w:color="auto"/>
                              </w:divBdr>
                              <w:divsChild>
                                <w:div w:id="570848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990724">
                                      <w:marLeft w:val="0"/>
                                      <w:marRight w:val="0"/>
                                      <w:marTop w:val="0"/>
                                      <w:marBottom w:val="0"/>
                                      <w:divBdr>
                                        <w:top w:val="none" w:sz="0" w:space="0" w:color="auto"/>
                                        <w:left w:val="none" w:sz="0" w:space="0" w:color="auto"/>
                                        <w:bottom w:val="none" w:sz="0" w:space="0" w:color="auto"/>
                                        <w:right w:val="none" w:sz="0" w:space="0" w:color="auto"/>
                                      </w:divBdr>
                                      <w:divsChild>
                                        <w:div w:id="1077358222">
                                          <w:marLeft w:val="0"/>
                                          <w:marRight w:val="0"/>
                                          <w:marTop w:val="0"/>
                                          <w:marBottom w:val="0"/>
                                          <w:divBdr>
                                            <w:top w:val="none" w:sz="0" w:space="0" w:color="auto"/>
                                            <w:left w:val="none" w:sz="0" w:space="0" w:color="auto"/>
                                            <w:bottom w:val="none" w:sz="0" w:space="0" w:color="auto"/>
                                            <w:right w:val="none" w:sz="0" w:space="0" w:color="auto"/>
                                          </w:divBdr>
                                          <w:divsChild>
                                            <w:div w:id="1188060121">
                                              <w:marLeft w:val="0"/>
                                              <w:marRight w:val="0"/>
                                              <w:marTop w:val="0"/>
                                              <w:marBottom w:val="0"/>
                                              <w:divBdr>
                                                <w:top w:val="none" w:sz="0" w:space="0" w:color="auto"/>
                                                <w:left w:val="none" w:sz="0" w:space="0" w:color="auto"/>
                                                <w:bottom w:val="none" w:sz="0" w:space="0" w:color="auto"/>
                                                <w:right w:val="none" w:sz="0" w:space="0" w:color="auto"/>
                                              </w:divBdr>
                                              <w:divsChild>
                                                <w:div w:id="1002006347">
                                                  <w:marLeft w:val="0"/>
                                                  <w:marRight w:val="0"/>
                                                  <w:marTop w:val="0"/>
                                                  <w:marBottom w:val="0"/>
                                                  <w:divBdr>
                                                    <w:top w:val="none" w:sz="0" w:space="0" w:color="auto"/>
                                                    <w:left w:val="none" w:sz="0" w:space="0" w:color="auto"/>
                                                    <w:bottom w:val="none" w:sz="0" w:space="0" w:color="auto"/>
                                                    <w:right w:val="none" w:sz="0" w:space="0" w:color="auto"/>
                                                  </w:divBdr>
                                                  <w:divsChild>
                                                    <w:div w:id="548035592">
                                                      <w:marLeft w:val="0"/>
                                                      <w:marRight w:val="0"/>
                                                      <w:marTop w:val="0"/>
                                                      <w:marBottom w:val="0"/>
                                                      <w:divBdr>
                                                        <w:top w:val="none" w:sz="0" w:space="0" w:color="auto"/>
                                                        <w:left w:val="none" w:sz="0" w:space="0" w:color="auto"/>
                                                        <w:bottom w:val="none" w:sz="0" w:space="0" w:color="auto"/>
                                                        <w:right w:val="none" w:sz="0" w:space="0" w:color="auto"/>
                                                      </w:divBdr>
                                                      <w:divsChild>
                                                        <w:div w:id="2074036370">
                                                          <w:marLeft w:val="0"/>
                                                          <w:marRight w:val="0"/>
                                                          <w:marTop w:val="0"/>
                                                          <w:marBottom w:val="0"/>
                                                          <w:divBdr>
                                                            <w:top w:val="none" w:sz="0" w:space="0" w:color="auto"/>
                                                            <w:left w:val="none" w:sz="0" w:space="0" w:color="auto"/>
                                                            <w:bottom w:val="none" w:sz="0" w:space="0" w:color="auto"/>
                                                            <w:right w:val="none" w:sz="0" w:space="0" w:color="auto"/>
                                                          </w:divBdr>
                                                          <w:divsChild>
                                                            <w:div w:id="1571384628">
                                                              <w:marLeft w:val="0"/>
                                                              <w:marRight w:val="0"/>
                                                              <w:marTop w:val="0"/>
                                                              <w:marBottom w:val="0"/>
                                                              <w:divBdr>
                                                                <w:top w:val="none" w:sz="0" w:space="0" w:color="auto"/>
                                                                <w:left w:val="none" w:sz="0" w:space="0" w:color="auto"/>
                                                                <w:bottom w:val="none" w:sz="0" w:space="0" w:color="auto"/>
                                                                <w:right w:val="none" w:sz="0" w:space="0" w:color="auto"/>
                                                              </w:divBdr>
                                                              <w:divsChild>
                                                                <w:div w:id="10415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9594986">
      <w:bodyDiv w:val="1"/>
      <w:marLeft w:val="0"/>
      <w:marRight w:val="0"/>
      <w:marTop w:val="0"/>
      <w:marBottom w:val="0"/>
      <w:divBdr>
        <w:top w:val="none" w:sz="0" w:space="0" w:color="auto"/>
        <w:left w:val="none" w:sz="0" w:space="0" w:color="auto"/>
        <w:bottom w:val="none" w:sz="0" w:space="0" w:color="auto"/>
        <w:right w:val="none" w:sz="0" w:space="0" w:color="auto"/>
      </w:divBdr>
    </w:div>
    <w:div w:id="1094328380">
      <w:bodyDiv w:val="1"/>
      <w:marLeft w:val="0"/>
      <w:marRight w:val="0"/>
      <w:marTop w:val="0"/>
      <w:marBottom w:val="0"/>
      <w:divBdr>
        <w:top w:val="none" w:sz="0" w:space="0" w:color="auto"/>
        <w:left w:val="none" w:sz="0" w:space="0" w:color="auto"/>
        <w:bottom w:val="none" w:sz="0" w:space="0" w:color="auto"/>
        <w:right w:val="none" w:sz="0" w:space="0" w:color="auto"/>
      </w:divBdr>
      <w:divsChild>
        <w:div w:id="486282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707415">
      <w:bodyDiv w:val="1"/>
      <w:marLeft w:val="0"/>
      <w:marRight w:val="0"/>
      <w:marTop w:val="0"/>
      <w:marBottom w:val="0"/>
      <w:divBdr>
        <w:top w:val="none" w:sz="0" w:space="0" w:color="auto"/>
        <w:left w:val="none" w:sz="0" w:space="0" w:color="auto"/>
        <w:bottom w:val="none" w:sz="0" w:space="0" w:color="auto"/>
        <w:right w:val="none" w:sz="0" w:space="0" w:color="auto"/>
      </w:divBdr>
      <w:divsChild>
        <w:div w:id="1659579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017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tas.edu.au/research/central-science-laboratory/facilities/elemental-analys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si.ucsb.edu/services/analytical-lab/chn-analysis" TargetMode="External"/><Relationship Id="rId5" Type="http://schemas.openxmlformats.org/officeDocument/2006/relationships/hyperlink" Target="mailto:georges.paradis@ucsb.edu" TargetMode="External"/><Relationship Id="rId4" Type="http://schemas.openxmlformats.org/officeDocument/2006/relationships/hyperlink" Target="https://soccom.princeton.edu/content/shipboard-data-report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Maine</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Haëntjens</dc:creator>
  <cp:keywords/>
  <dc:description/>
  <cp:lastModifiedBy>Nils Haëntjens</cp:lastModifiedBy>
  <cp:revision>33</cp:revision>
  <cp:lastPrinted>2018-02-27T15:01:00Z</cp:lastPrinted>
  <dcterms:created xsi:type="dcterms:W3CDTF">2017-04-10T19:14:00Z</dcterms:created>
  <dcterms:modified xsi:type="dcterms:W3CDTF">2018-02-27T15:01:00Z</dcterms:modified>
</cp:coreProperties>
</file>