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4EDF7" w14:textId="68B01D34" w:rsidR="0072279F" w:rsidRPr="00161562" w:rsidRDefault="00254FB1" w:rsidP="00124293">
      <w:pPr>
        <w:spacing w:after="0" w:line="240" w:lineRule="auto"/>
        <w:jc w:val="center"/>
        <w:rPr>
          <w:sz w:val="28"/>
        </w:rPr>
      </w:pPr>
      <w:r>
        <w:rPr>
          <w:sz w:val="28"/>
        </w:rPr>
        <w:t>PVST</w:t>
      </w:r>
      <w:r w:rsidR="008967D2">
        <w:rPr>
          <w:sz w:val="28"/>
        </w:rPr>
        <w:t xml:space="preserve"> SO-PACE </w:t>
      </w:r>
      <w:r>
        <w:rPr>
          <w:sz w:val="28"/>
        </w:rPr>
        <w:t xml:space="preserve">TN444 </w:t>
      </w:r>
      <w:r w:rsidR="0072279F">
        <w:rPr>
          <w:sz w:val="28"/>
        </w:rPr>
        <w:t>(</w:t>
      </w:r>
      <w:r>
        <w:rPr>
          <w:sz w:val="28"/>
        </w:rPr>
        <w:t>May – June 2025</w:t>
      </w:r>
      <w:r w:rsidR="0072279F">
        <w:rPr>
          <w:sz w:val="28"/>
        </w:rPr>
        <w:t xml:space="preserve">) </w:t>
      </w:r>
      <w:proofErr w:type="spellStart"/>
      <w:r w:rsidR="00A64DD0">
        <w:rPr>
          <w:sz w:val="28"/>
        </w:rPr>
        <w:t>HyperBB</w:t>
      </w:r>
      <w:proofErr w:type="spellEnd"/>
      <w:r w:rsidR="0072279F" w:rsidRPr="00161562">
        <w:rPr>
          <w:sz w:val="28"/>
        </w:rPr>
        <w:t xml:space="preserve"> Processing Report</w:t>
      </w:r>
      <w:r w:rsidR="00120984">
        <w:rPr>
          <w:sz w:val="28"/>
        </w:rPr>
        <w:t xml:space="preserve"> V1</w:t>
      </w:r>
    </w:p>
    <w:p w14:paraId="587FB50F" w14:textId="0D3616DE" w:rsidR="00A64DD0" w:rsidRDefault="008967D2" w:rsidP="00A64DD0">
      <w:pPr>
        <w:spacing w:after="0" w:line="240" w:lineRule="auto"/>
        <w:jc w:val="center"/>
      </w:pPr>
      <w:r>
        <w:t xml:space="preserve">Guillaume BOURDIN, </w:t>
      </w:r>
      <w:r w:rsidR="00A64DD0">
        <w:t xml:space="preserve">Emmanuel BOSS, </w:t>
      </w:r>
      <w:r w:rsidR="00E53C1F">
        <w:t>Xiaodong Zhang</w:t>
      </w:r>
      <w:r w:rsidR="00A64DD0">
        <w:t xml:space="preserve">, </w:t>
      </w:r>
      <w:r>
        <w:t xml:space="preserve">and Alison CHASE </w:t>
      </w:r>
      <w:r w:rsidR="00254FB1">
        <w:t>August</w:t>
      </w:r>
      <w:r w:rsidR="00A64DD0">
        <w:t xml:space="preserve"> 2025</w:t>
      </w:r>
    </w:p>
    <w:p w14:paraId="6E7675DC" w14:textId="77777777" w:rsidR="000B59A5" w:rsidRDefault="000B59A5" w:rsidP="00705678">
      <w:pPr>
        <w:spacing w:after="120" w:line="240" w:lineRule="auto"/>
        <w:jc w:val="both"/>
        <w:rPr>
          <w:b/>
        </w:rPr>
      </w:pPr>
      <w:r>
        <w:rPr>
          <w:b/>
        </w:rPr>
        <w:t>Measurements</w:t>
      </w:r>
    </w:p>
    <w:p w14:paraId="3D6AF8BB" w14:textId="390506BE" w:rsidR="00A64DD0" w:rsidRDefault="00F14D5D" w:rsidP="00A64DD0">
      <w:pPr>
        <w:spacing w:line="240" w:lineRule="auto"/>
        <w:jc w:val="both"/>
      </w:pPr>
      <w:r>
        <w:t>Volume</w:t>
      </w:r>
      <w:r w:rsidRPr="00161562">
        <w:t xml:space="preserve"> scattering function</w:t>
      </w:r>
      <w:r>
        <w:t xml:space="preserve"> (VSF)</w:t>
      </w:r>
      <w:r w:rsidRPr="00161562">
        <w:t xml:space="preserve"> at 1</w:t>
      </w:r>
      <w:r w:rsidR="00A64DD0">
        <w:t>3</w:t>
      </w:r>
      <w:r w:rsidRPr="00161562">
        <w:t>4</w:t>
      </w:r>
      <w:r w:rsidR="00A64DD0">
        <w:t>+1.5</w:t>
      </w:r>
      <w:r w:rsidRPr="00161562">
        <w:t xml:space="preserve"> deg </w:t>
      </w:r>
      <w:r w:rsidR="00A64DD0">
        <w:t>at 430, 440, 450, 460, 470, 480, 490, 500, 510, 520, 530, 540, 550, 560, 570, 580, 590, 600, 610, 620, 630, 640, 650, 660, 670, 680, 690 and 700</w:t>
      </w:r>
      <w:r w:rsidRPr="00161562">
        <w:t xml:space="preserve">nm </w:t>
      </w:r>
      <w:r w:rsidR="0074759C">
        <w:t xml:space="preserve">wavelengths </w:t>
      </w:r>
      <w:r>
        <w:t xml:space="preserve">were </w:t>
      </w:r>
      <w:r w:rsidR="000B59A5" w:rsidRPr="00161562">
        <w:t xml:space="preserve">measured continuously on board the </w:t>
      </w:r>
      <w:r w:rsidR="008967D2" w:rsidRPr="00B97E62">
        <w:t xml:space="preserve">R/V </w:t>
      </w:r>
      <w:r w:rsidR="00743D85">
        <w:t>Thomas G. Thompson</w:t>
      </w:r>
      <w:r w:rsidR="008967D2" w:rsidRPr="00B97E62">
        <w:t xml:space="preserve"> during </w:t>
      </w:r>
      <w:r w:rsidR="008967D2" w:rsidRPr="00161562">
        <w:t>the</w:t>
      </w:r>
      <w:r w:rsidR="008967D2" w:rsidRPr="00316DCA">
        <w:t xml:space="preserve"> </w:t>
      </w:r>
      <w:r w:rsidR="00254FB1">
        <w:t xml:space="preserve">PVST </w:t>
      </w:r>
      <w:r w:rsidR="008967D2">
        <w:t xml:space="preserve">SO-PACE </w:t>
      </w:r>
      <w:r w:rsidR="00254FB1">
        <w:t>TN444</w:t>
      </w:r>
      <w:r w:rsidR="008967D2">
        <w:t xml:space="preserve"> cruise</w:t>
      </w:r>
      <w:r w:rsidR="008967D2" w:rsidRPr="00161562">
        <w:t xml:space="preserve"> from </w:t>
      </w:r>
      <w:r w:rsidR="008967D2">
        <w:t>202</w:t>
      </w:r>
      <w:r w:rsidR="00254FB1">
        <w:t>5</w:t>
      </w:r>
      <w:r w:rsidR="008967D2">
        <w:t>-</w:t>
      </w:r>
      <w:r w:rsidR="00254FB1">
        <w:t>05</w:t>
      </w:r>
      <w:r w:rsidR="008967D2">
        <w:t>-</w:t>
      </w:r>
      <w:r w:rsidR="00254FB1">
        <w:t>05</w:t>
      </w:r>
      <w:r w:rsidR="008967D2">
        <w:t>,</w:t>
      </w:r>
      <w:r w:rsidR="008967D2" w:rsidRPr="00161562">
        <w:t xml:space="preserve"> to </w:t>
      </w:r>
      <w:r w:rsidR="008967D2">
        <w:t>202</w:t>
      </w:r>
      <w:r w:rsidR="00254FB1">
        <w:t>5</w:t>
      </w:r>
      <w:r w:rsidR="008967D2">
        <w:t>-</w:t>
      </w:r>
      <w:r w:rsidR="00254FB1">
        <w:t>06</w:t>
      </w:r>
      <w:r w:rsidR="008967D2">
        <w:t>-</w:t>
      </w:r>
      <w:r w:rsidR="00254FB1">
        <w:t>15</w:t>
      </w:r>
      <w:r w:rsidR="008967D2">
        <w:t xml:space="preserve"> </w:t>
      </w:r>
      <w:r w:rsidR="00254FB1">
        <w:t>in the Indian Ocean</w:t>
      </w:r>
      <w:r w:rsidR="000B59A5" w:rsidRPr="00161562">
        <w:t>.</w:t>
      </w:r>
      <w:r>
        <w:t xml:space="preserve"> </w:t>
      </w:r>
    </w:p>
    <w:p w14:paraId="7DA611D8" w14:textId="460509CE" w:rsidR="00F14D5D" w:rsidRDefault="00A64DD0" w:rsidP="00705678">
      <w:pPr>
        <w:spacing w:line="240" w:lineRule="auto"/>
        <w:jc w:val="both"/>
      </w:pPr>
      <w:r>
        <w:t>A</w:t>
      </w:r>
      <w:r w:rsidR="00F14D5D" w:rsidRPr="00161562">
        <w:t xml:space="preserve"> </w:t>
      </w:r>
      <w:bookmarkStart w:id="0" w:name="_Hlk33681575"/>
      <w:proofErr w:type="spellStart"/>
      <w:r w:rsidR="00F14D5D" w:rsidRPr="00161562">
        <w:t>WetLabs</w:t>
      </w:r>
      <w:proofErr w:type="spellEnd"/>
      <w:r w:rsidR="00F14D5D" w:rsidRPr="00161562">
        <w:t xml:space="preserve"> </w:t>
      </w:r>
      <w:r>
        <w:t xml:space="preserve">Sequoia Scientific </w:t>
      </w:r>
      <w:proofErr w:type="spellStart"/>
      <w:r>
        <w:t>HyperBB</w:t>
      </w:r>
      <w:proofErr w:type="spellEnd"/>
      <w:r w:rsidR="00F14D5D" w:rsidRPr="00161562">
        <w:t xml:space="preserve"> (serial number </w:t>
      </w:r>
      <w:r>
        <w:t>8005</w:t>
      </w:r>
      <w:r w:rsidR="00F14D5D" w:rsidRPr="00161562">
        <w:t xml:space="preserve">) was set in </w:t>
      </w:r>
      <w:r>
        <w:t>2</w:t>
      </w:r>
      <w:r w:rsidR="00F14D5D" w:rsidRPr="00161562">
        <w:t>L</w:t>
      </w:r>
      <w:bookmarkEnd w:id="0"/>
      <w:r w:rsidR="00AA6D96">
        <w:t xml:space="preserve"> </w:t>
      </w:r>
      <w:r>
        <w:t xml:space="preserve">specially constructed </w:t>
      </w:r>
      <w:r w:rsidR="008967D2">
        <w:t>flow-through chamber mounted on an underway continuous sampling system</w:t>
      </w:r>
      <w:r>
        <w:t>. Measurements were done in a protocol using</w:t>
      </w:r>
      <w:r w:rsidR="00F14D5D" w:rsidRPr="00161562">
        <w:t xml:space="preserve"> switching system</w:t>
      </w:r>
      <w:r>
        <w:t>,</w:t>
      </w:r>
      <w:r w:rsidR="00F14D5D" w:rsidRPr="00161562">
        <w:t xml:space="preserve"> running 0.2 um filtered sea water through the box </w:t>
      </w:r>
      <w:r w:rsidR="00F14D5D">
        <w:t xml:space="preserve">during the first </w:t>
      </w:r>
      <w:r w:rsidR="00F14D5D" w:rsidRPr="00161562">
        <w:t>10 minutes</w:t>
      </w:r>
      <w:r w:rsidR="00F14D5D">
        <w:t xml:space="preserve"> of every </w:t>
      </w:r>
      <w:r w:rsidR="00F14D5D" w:rsidRPr="00161562">
        <w:t>hour</w:t>
      </w:r>
      <w:r w:rsidR="00F14D5D">
        <w:t>,</w:t>
      </w:r>
      <w:r w:rsidR="00F14D5D" w:rsidRPr="00161562">
        <w:t xml:space="preserve"> and total</w:t>
      </w:r>
      <w:r w:rsidR="00F14D5D">
        <w:t xml:space="preserve"> (</w:t>
      </w:r>
      <w:r w:rsidR="00AA6D96">
        <w:t>non-filtered</w:t>
      </w:r>
      <w:r w:rsidR="00F14D5D">
        <w:t>)</w:t>
      </w:r>
      <w:r w:rsidR="00F14D5D" w:rsidRPr="00161562">
        <w:t xml:space="preserve"> </w:t>
      </w:r>
      <w:r w:rsidR="009C1C74" w:rsidRPr="00161562">
        <w:t>seawater</w:t>
      </w:r>
      <w:r w:rsidR="00F14D5D" w:rsidRPr="00161562">
        <w:t xml:space="preserve"> the rest of the </w:t>
      </w:r>
      <w:r>
        <w:t>hour</w:t>
      </w:r>
      <w:r w:rsidR="00F14D5D" w:rsidRPr="00161562">
        <w:t>.</w:t>
      </w:r>
      <w:r w:rsidR="00F14D5D">
        <w:t xml:space="preserve"> </w:t>
      </w:r>
      <w:r w:rsidR="00AA6D96" w:rsidRPr="00161562">
        <w:t>This setup allow</w:t>
      </w:r>
      <w:r w:rsidR="00AA6D96">
        <w:t>s</w:t>
      </w:r>
      <w:r w:rsidR="00AA6D96" w:rsidRPr="00161562">
        <w:t xml:space="preserve"> to retrieve particulate VSF (</w:t>
      </w:r>
      <w:r w:rsidR="00AA6D96">
        <w:t>β</w:t>
      </w:r>
      <w:r w:rsidR="00AA6D96" w:rsidRPr="00DA5F37">
        <w:rPr>
          <w:vertAlign w:val="subscript"/>
        </w:rPr>
        <w:t>p</w:t>
      </w:r>
      <w:r w:rsidR="00AA6D96">
        <w:t xml:space="preserve">) </w:t>
      </w:r>
      <w:r w:rsidR="00AA6D96" w:rsidRPr="00161562">
        <w:t>independently from instrument drift</w:t>
      </w:r>
      <w:r w:rsidR="00AA6D96">
        <w:t>,</w:t>
      </w:r>
      <w:r w:rsidR="00AA6D96" w:rsidRPr="00161562">
        <w:t xml:space="preserve"> box effect</w:t>
      </w:r>
      <w:r w:rsidR="00AA6D96">
        <w:t xml:space="preserve">, </w:t>
      </w:r>
      <w:r w:rsidR="009C1C74">
        <w:t xml:space="preserve">biofouling, </w:t>
      </w:r>
      <w:r w:rsidR="00AA6D96">
        <w:t xml:space="preserve">and </w:t>
      </w:r>
      <w:r w:rsidR="009C1C74">
        <w:t xml:space="preserve">particle </w:t>
      </w:r>
      <w:r w:rsidR="00AA6D96">
        <w:t>accumulation happening in the box</w:t>
      </w:r>
      <w:r w:rsidR="00AA6D96" w:rsidRPr="00161562">
        <w:t>.</w:t>
      </w:r>
      <w:r w:rsidR="00AA6D96">
        <w:t xml:space="preserve"> </w:t>
      </w:r>
    </w:p>
    <w:p w14:paraId="191D1E76" w14:textId="181C1F28" w:rsidR="00AA6D96" w:rsidRDefault="00AA6D96" w:rsidP="00AA6D96">
      <w:pPr>
        <w:jc w:val="both"/>
      </w:pPr>
      <w:r w:rsidRPr="00161562">
        <w:t xml:space="preserve">The data was logged with a </w:t>
      </w:r>
      <w:r w:rsidR="009C1C74">
        <w:t>publicly</w:t>
      </w:r>
      <w:r w:rsidR="006D089B">
        <w:t xml:space="preserve">-available </w:t>
      </w:r>
      <w:r w:rsidRPr="00161562">
        <w:t>home-grown data-logger (</w:t>
      </w:r>
      <w:proofErr w:type="spellStart"/>
      <w:r w:rsidRPr="00161562">
        <w:t>Inlinino</w:t>
      </w:r>
      <w:proofErr w:type="spellEnd"/>
      <w:r w:rsidRPr="00161562">
        <w:t xml:space="preserve">, </w:t>
      </w:r>
      <w:hyperlink r:id="rId5" w:history="1">
        <w:r w:rsidRPr="008967BF">
          <w:rPr>
            <w:rStyle w:val="Hyperlink"/>
          </w:rPr>
          <w:t>http://inlinino.readthedocs.io/</w:t>
        </w:r>
      </w:hyperlink>
      <w:r>
        <w:t>)</w:t>
      </w:r>
      <w:r w:rsidRPr="00161562">
        <w:t xml:space="preserve">. The Box was cleaned </w:t>
      </w:r>
      <w:r>
        <w:t xml:space="preserve">approximately </w:t>
      </w:r>
      <w:r w:rsidR="009C1C74">
        <w:t xml:space="preserve">every </w:t>
      </w:r>
      <w:r w:rsidR="008967D2">
        <w:t>4</w:t>
      </w:r>
      <w:r w:rsidR="009C1C74">
        <w:t xml:space="preserve"> </w:t>
      </w:r>
      <w:proofErr w:type="gramStart"/>
      <w:r w:rsidR="009C1C74">
        <w:t>days</w:t>
      </w:r>
      <w:proofErr w:type="gramEnd"/>
      <w:r w:rsidR="009C1C74">
        <w:t xml:space="preserve"> and the filters were changed </w:t>
      </w:r>
      <w:r w:rsidR="00A64DD0">
        <w:t xml:space="preserve">weekly or </w:t>
      </w:r>
      <w:r w:rsidR="009C1C74">
        <w:t>when the flow speed during a filtered measurements was consistently lower than 2 LPM</w:t>
      </w:r>
      <w:r w:rsidR="00DD1B05">
        <w:t>.</w:t>
      </w:r>
    </w:p>
    <w:p w14:paraId="0FE9DE8D" w14:textId="19CB543D" w:rsidR="0072279F" w:rsidRDefault="0072279F" w:rsidP="00705678">
      <w:pPr>
        <w:spacing w:after="120" w:line="240" w:lineRule="auto"/>
        <w:jc w:val="both"/>
        <w:rPr>
          <w:b/>
        </w:rPr>
      </w:pPr>
      <w:r w:rsidRPr="00161562">
        <w:rPr>
          <w:b/>
        </w:rPr>
        <w:t>Processing</w:t>
      </w:r>
      <w:r>
        <w:rPr>
          <w:b/>
        </w:rPr>
        <w:t xml:space="preserve"> notes</w:t>
      </w:r>
    </w:p>
    <w:p w14:paraId="0D799AAB" w14:textId="5B31F63D" w:rsidR="006D089B" w:rsidRDefault="00992DD6" w:rsidP="006D089B">
      <w:pPr>
        <w:spacing w:after="120" w:line="240" w:lineRule="auto"/>
      </w:pPr>
      <w:r>
        <w:t>Data was processe</w:t>
      </w:r>
      <w:r w:rsidR="0072279F">
        <w:t>d following</w:t>
      </w:r>
      <w:r w:rsidR="00045244">
        <w:t xml:space="preserve"> </w:t>
      </w:r>
      <w:r w:rsidR="00045244" w:rsidRPr="00045244">
        <w:rPr>
          <w:rFonts w:ascii="Calibri" w:hAnsi="Calibri" w:cs="Calibri"/>
        </w:rPr>
        <w:t>Boss et al.</w:t>
      </w:r>
      <w:r w:rsidR="00045244">
        <w:rPr>
          <w:rFonts w:ascii="Calibri" w:hAnsi="Calibri" w:cs="Calibri"/>
        </w:rPr>
        <w:t xml:space="preserve"> (</w:t>
      </w:r>
      <w:r w:rsidR="00045244" w:rsidRPr="00045244">
        <w:rPr>
          <w:rFonts w:ascii="Calibri" w:hAnsi="Calibri" w:cs="Calibri"/>
        </w:rPr>
        <w:t>2019)</w:t>
      </w:r>
      <w:r w:rsidR="00A64DD0">
        <w:t xml:space="preserve"> with a few modification as described below</w:t>
      </w:r>
      <w:r>
        <w:t xml:space="preserve">, using </w:t>
      </w:r>
      <w:r w:rsidR="0072279F">
        <w:t xml:space="preserve">a </w:t>
      </w:r>
      <w:r>
        <w:t xml:space="preserve">custom software </w:t>
      </w:r>
      <w:r w:rsidR="00DD1B05">
        <w:t xml:space="preserve">for in-line optical data </w:t>
      </w:r>
      <w:bookmarkStart w:id="1" w:name="_Hlk32162626"/>
      <w:r w:rsidR="00A64DD0">
        <w:t>processing (</w:t>
      </w:r>
      <w:hyperlink r:id="rId6" w:history="1">
        <w:r w:rsidR="00A64DD0" w:rsidRPr="002C6219">
          <w:rPr>
            <w:rStyle w:val="Hyperlink"/>
          </w:rPr>
          <w:t>https://github.com/OceanOptics/InLineAnalysis/commit/df7246258fcf039a099ffab631ab6218b810cd35</w:t>
        </w:r>
      </w:hyperlink>
      <w:r w:rsidR="00A64DD0">
        <w:rPr>
          <w:rStyle w:val="Hyperlink"/>
        </w:rPr>
        <w:t>).</w:t>
      </w:r>
    </w:p>
    <w:p w14:paraId="5A2B4F74" w14:textId="036D20A0" w:rsidR="00A64DD0" w:rsidRPr="00782B5C" w:rsidRDefault="00A64DD0" w:rsidP="00782B5C">
      <w:r>
        <w:t xml:space="preserve">All in-line instruments were logged on the same computer which was synchronized with the ship’s GPS date/time and latitude/longitude over the NMEA. Total and filtered data were first separated according to flow data of the in-line data. </w:t>
      </w:r>
      <w:bookmarkEnd w:id="1"/>
      <w:r w:rsidR="00793C5F">
        <w:t xml:space="preserve">Total and filtered data were first separated according to flow data of the in-line data. </w:t>
      </w:r>
      <w:r w:rsidR="005F68F4">
        <w:t xml:space="preserve">For each </w:t>
      </w:r>
      <w:r>
        <w:t xml:space="preserve">five </w:t>
      </w:r>
      <w:r w:rsidR="005F68F4">
        <w:t>minute</w:t>
      </w:r>
      <w:r>
        <w:t>s</w:t>
      </w:r>
      <w:r w:rsidR="00793C5F">
        <w:t xml:space="preserve"> of the total seawater measurement</w:t>
      </w:r>
      <w:r w:rsidR="005F68F4">
        <w:t xml:space="preserve">, the </w:t>
      </w:r>
      <w:r w:rsidR="00793C5F">
        <w:t>signal</w:t>
      </w:r>
      <w:r w:rsidR="005F68F4">
        <w:t xml:space="preserve"> between the </w:t>
      </w:r>
      <w:r w:rsidR="00793C5F">
        <w:t>2.</w:t>
      </w:r>
      <w:r w:rsidR="005F68F4">
        <w:t xml:space="preserve">5th and </w:t>
      </w:r>
      <w:r w:rsidR="00793C5F">
        <w:t>97.5</w:t>
      </w:r>
      <w:r w:rsidR="005F68F4">
        <w:t>th percentiles are averaged, and their standard deviation is kept for reporting</w:t>
      </w:r>
      <w:r w:rsidR="009E4C56">
        <w:t xml:space="preserve">. The automatic QC and </w:t>
      </w:r>
      <w:r w:rsidR="009E4C56" w:rsidRPr="009E4C56">
        <w:rPr>
          <w:color w:val="000000" w:themeColor="text1"/>
        </w:rPr>
        <w:t>the 2.5th to 97.5th percentiles averaging</w:t>
      </w:r>
      <w:r w:rsidR="00A07AFE" w:rsidRPr="009E4C56">
        <w:rPr>
          <w:color w:val="000000" w:themeColor="text1"/>
        </w:rPr>
        <w:t xml:space="preserve"> filter out noisy spikes from bubble</w:t>
      </w:r>
      <w:r w:rsidR="009E4C56" w:rsidRPr="009E4C56">
        <w:rPr>
          <w:color w:val="000000" w:themeColor="text1"/>
        </w:rPr>
        <w:t>s</w:t>
      </w:r>
      <w:r w:rsidR="00AC3A03">
        <w:rPr>
          <w:color w:val="000000" w:themeColor="text1"/>
        </w:rPr>
        <w:t xml:space="preserve"> and rare large particles</w:t>
      </w:r>
      <w:r w:rsidR="005F68F4" w:rsidRPr="009E4C56">
        <w:rPr>
          <w:color w:val="000000" w:themeColor="text1"/>
        </w:rPr>
        <w:t>.</w:t>
      </w:r>
      <w:r w:rsidR="00782B5C">
        <w:rPr>
          <w:color w:val="000000" w:themeColor="text1"/>
        </w:rPr>
        <w:t xml:space="preserve"> </w:t>
      </w:r>
      <w:r w:rsidR="00782B5C">
        <w:rPr>
          <w:rFonts w:eastAsiaTheme="minorEastAsia"/>
        </w:rPr>
        <w:t>Both total and filtered measurements were individually T/S corrected based on method from Zhang et al. (2009) (</w:t>
      </w:r>
      <w:r w:rsidR="00782B5C" w:rsidRPr="00337FA3">
        <w:rPr>
          <w:rFonts w:ascii="Menlo" w:eastAsia="Times New Roman" w:hAnsi="Menlo" w:cs="Menlo"/>
          <w:sz w:val="18"/>
          <w:szCs w:val="18"/>
        </w:rPr>
        <w:t>betasw_ZHH2009</w:t>
      </w:r>
      <w:r w:rsidR="00782B5C">
        <w:rPr>
          <w:rFonts w:ascii="Menlo" w:eastAsia="Times New Roman" w:hAnsi="Menlo" w:cs="Menlo"/>
          <w:sz w:val="18"/>
          <w:szCs w:val="18"/>
        </w:rPr>
        <w:t>.m)</w:t>
      </w:r>
      <w:r w:rsidR="00782B5C">
        <w:t xml:space="preserve"> using temperature and salinity measurements recorded with a </w:t>
      </w:r>
      <w:proofErr w:type="spellStart"/>
      <w:r w:rsidR="00782B5C">
        <w:t>SeaBird</w:t>
      </w:r>
      <w:proofErr w:type="spellEnd"/>
      <w:r w:rsidR="00782B5C">
        <w:t xml:space="preserve"> SBE38 and SBE45 mounted on the same water circuit.</w:t>
      </w:r>
    </w:p>
    <w:p w14:paraId="0E0B2901" w14:textId="77777777" w:rsidR="00A64DD0" w:rsidRDefault="00A64DD0" w:rsidP="00A64DD0">
      <w:r>
        <w:t>The purpose of measurements of dissolved fraction and their removal from the total signal is designed to:</w:t>
      </w:r>
    </w:p>
    <w:p w14:paraId="5D30CE59" w14:textId="6104FCAE" w:rsidR="00A64DD0" w:rsidRDefault="00A64DD0" w:rsidP="00A64DD0">
      <w:pPr>
        <w:pStyle w:val="ListParagraph"/>
        <w:numPr>
          <w:ilvl w:val="0"/>
          <w:numId w:val="2"/>
        </w:numPr>
        <w:spacing w:after="0" w:line="240" w:lineRule="auto"/>
      </w:pPr>
      <w:r>
        <w:t>Address changes in the dark current, if any.</w:t>
      </w:r>
    </w:p>
    <w:p w14:paraId="34691502" w14:textId="462B768C" w:rsidR="00A64DD0" w:rsidRDefault="00A64DD0" w:rsidP="00A64DD0">
      <w:pPr>
        <w:pStyle w:val="ListParagraph"/>
        <w:numPr>
          <w:ilvl w:val="0"/>
          <w:numId w:val="2"/>
        </w:numPr>
        <w:spacing w:after="0" w:line="240" w:lineRule="auto"/>
      </w:pPr>
      <w:r>
        <w:t>Remove contribution of chamber reflectance.</w:t>
      </w:r>
    </w:p>
    <w:p w14:paraId="3E57BE0D" w14:textId="77777777" w:rsidR="00A64DD0" w:rsidRDefault="00A64DD0" w:rsidP="00A64DD0">
      <w:pPr>
        <w:pStyle w:val="ListParagraph"/>
        <w:numPr>
          <w:ilvl w:val="0"/>
          <w:numId w:val="2"/>
        </w:numPr>
        <w:spacing w:after="0" w:line="240" w:lineRule="auto"/>
      </w:pPr>
      <w:r>
        <w:t>Remove contribution of large particles/swimming organisms that manage to stay in the chamber over long times.</w:t>
      </w:r>
    </w:p>
    <w:p w14:paraId="092AD1A8" w14:textId="574F8BE7" w:rsidR="00782B5C" w:rsidRDefault="00A64DD0" w:rsidP="00A64DD0">
      <w:r>
        <w:t xml:space="preserve">They do not correct for window fouling, as the latter will reduce the signal of both dissolved and total (and difference between them). We will denote the above offset by </w:t>
      </w:r>
      <m:oMath>
        <m:r>
          <m:rPr>
            <m:sty m:val="p"/>
          </m:rPr>
          <w:rPr>
            <w:rFonts w:ascii="Cambria Math" w:hAnsi="Cambria Math"/>
          </w:rPr>
          <m:t>Δ</m:t>
        </m:r>
      </m:oMath>
      <w:r>
        <w:rPr>
          <w:rFonts w:eastAsiaTheme="minorEastAsia"/>
        </w:rPr>
        <w:t>.</w:t>
      </w:r>
      <w:r w:rsidR="00337FA3">
        <w:rPr>
          <w:rFonts w:eastAsiaTheme="minorEastAsia"/>
        </w:rPr>
        <w:t xml:space="preserve"> </w:t>
      </w:r>
    </w:p>
    <w:p w14:paraId="601EBB36" w14:textId="564C28D3" w:rsidR="00A64DD0" w:rsidRPr="00782B5C" w:rsidRDefault="00782B5C" w:rsidP="00A64DD0">
      <w:pPr>
        <w:rPr>
          <w:rFonts w:ascii="Menlo" w:eastAsia="Times New Roman" w:hAnsi="Menlo" w:cs="Menlo"/>
          <w:sz w:val="18"/>
          <w:szCs w:val="18"/>
        </w:rPr>
      </w:pPr>
      <w:r>
        <w:lastRenderedPageBreak/>
        <w:t xml:space="preserve"> </w:t>
      </w:r>
      <w:r w:rsidR="00A64DD0">
        <w:t xml:space="preserve">If there is a significant amount of attenuating material in the chamber, this attenuation needs to be corrected for. For instrument calibrated with a plaque (e.g. Hyper-bb), the measurement includes the contribution of water, dissolved materials and particles. Note that the attenuation due to water (not salts) is taken care of by the calibration procedure (instrument is calibrated with water in the tank). The </w:t>
      </w:r>
      <w:r w:rsidR="00732179">
        <w:t>f</w:t>
      </w:r>
      <w:r w:rsidR="00A64DD0">
        <w:t>iltered measurement of the VSF (</w:t>
      </w:r>
      <m:oMath>
        <m:sSub>
          <m:sSubPr>
            <m:ctrlPr>
              <w:rPr>
                <w:rFonts w:ascii="Cambria Math" w:hAnsi="Cambria Math"/>
                <w:i/>
              </w:rPr>
            </m:ctrlPr>
          </m:sSubPr>
          <m:e>
            <m:r>
              <w:rPr>
                <w:rFonts w:ascii="Cambria Math" w:hAnsi="Cambria Math"/>
              </w:rPr>
              <m:t>β</m:t>
            </m:r>
          </m:e>
          <m:sub>
            <m:r>
              <w:rPr>
                <w:rFonts w:ascii="Cambria Math" w:hAnsi="Cambria Math"/>
              </w:rPr>
              <m:t>measured,0.2</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m:t>
        </m:r>
      </m:oMath>
      <w:r w:rsidR="00A64DD0">
        <w:rPr>
          <w:rFonts w:eastAsiaTheme="minorEastAsia"/>
        </w:rPr>
        <w:t xml:space="preserve"> relates to IOPs as follows</w:t>
      </w:r>
      <w:r w:rsidR="00732179">
        <w:rPr>
          <w:rFonts w:eastAsiaTheme="minorEastAsia"/>
        </w:rPr>
        <w:t xml:space="preserve"> (Zhang et al. in prep)</w:t>
      </w:r>
      <w:r w:rsidR="00A64DD0">
        <w:rPr>
          <w:rFonts w:eastAsiaTheme="minorEastAsia"/>
        </w:rPr>
        <w:t>:</w:t>
      </w:r>
    </w:p>
    <w:p w14:paraId="16010121" w14:textId="77777777" w:rsidR="00A64DD0" w:rsidRPr="00A64DD0" w:rsidRDefault="00000000" w:rsidP="00A64DD0">
      <w:pPr>
        <w:rPr>
          <w:rFonts w:eastAsiaTheme="minorEastAsia"/>
        </w:rPr>
      </w:pPr>
      <m:oMathPara>
        <m:oMath>
          <m:sSub>
            <m:sSubPr>
              <m:ctrlPr>
                <w:rPr>
                  <w:rFonts w:ascii="Cambria Math" w:hAnsi="Cambria Math"/>
                  <w:i/>
                </w:rPr>
              </m:ctrlPr>
            </m:sSubPr>
            <m:e>
              <m:r>
                <w:rPr>
                  <w:rFonts w:ascii="Cambria Math" w:hAnsi="Cambria Math"/>
                </w:rPr>
                <m:t>β</m:t>
              </m:r>
            </m:e>
            <m:sub>
              <m:r>
                <w:rPr>
                  <w:rFonts w:ascii="Cambria Math" w:hAnsi="Cambria Math"/>
                </w:rPr>
                <m:t>measured,0.2</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sw</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g</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e>
          </m:d>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0.2</m:t>
                  </m:r>
                </m:sub>
              </m:sSub>
              <m:r>
                <w:rPr>
                  <w:rFonts w:ascii="Cambria Math" w:hAnsi="Cambria Math"/>
                </w:rPr>
                <m:t>δ</m:t>
              </m:r>
            </m:sup>
          </m:sSup>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0.2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g</m:t>
              </m:r>
            </m:sub>
          </m:sSub>
          <m:r>
            <w:rPr>
              <w:rFonts w:ascii="Cambria Math" w:hAnsi="Cambria Math"/>
            </w:rPr>
            <m:t>+f(</m:t>
          </m:r>
          <m:sSub>
            <m:sSubPr>
              <m:ctrlPr>
                <w:rPr>
                  <w:rFonts w:ascii="Cambria Math" w:hAnsi="Cambria Math"/>
                  <w:i/>
                </w:rPr>
              </m:ctrlPr>
            </m:sSubPr>
            <m:e>
              <m:r>
                <w:rPr>
                  <w:rFonts w:ascii="Cambria Math" w:hAnsi="Cambria Math"/>
                </w:rPr>
                <m:t>β</m:t>
              </m:r>
            </m:e>
            <m:sub>
              <m:r>
                <w:rPr>
                  <w:rFonts w:ascii="Cambria Math" w:hAnsi="Cambria Math"/>
                </w:rPr>
                <m:t>s</m:t>
              </m:r>
            </m:sub>
          </m:sSub>
          <m:d>
            <m:dPr>
              <m:ctrlPr>
                <w:rPr>
                  <w:rFonts w:ascii="Cambria Math" w:hAnsi="Cambria Math"/>
                  <w:i/>
                </w:rPr>
              </m:ctrlPr>
            </m:dPr>
            <m:e>
              <m:r>
                <w:rPr>
                  <w:rFonts w:ascii="Cambria Math" w:hAnsi="Cambria Math"/>
                </w:rPr>
                <m:t>θ</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g</m:t>
              </m:r>
            </m:sub>
          </m:sSub>
          <m:d>
            <m:dPr>
              <m:ctrlPr>
                <w:rPr>
                  <w:rFonts w:ascii="Cambria Math" w:hAnsi="Cambria Math"/>
                  <w:i/>
                </w:rPr>
              </m:ctrlPr>
            </m:dPr>
            <m:e>
              <m:r>
                <w:rPr>
                  <w:rFonts w:ascii="Cambria Math" w:hAnsi="Cambria Math"/>
                </w:rPr>
                <m:t>θ</m:t>
              </m:r>
            </m:e>
          </m:d>
          <m:r>
            <w:rPr>
              <w:rFonts w:ascii="Cambria Math" w:hAnsi="Cambria Math"/>
            </w:rPr>
            <m:t>)</m:t>
          </m:r>
        </m:oMath>
      </m:oMathPara>
    </w:p>
    <w:p w14:paraId="10D7A0AD" w14:textId="457C40AE" w:rsidR="00A64DD0" w:rsidRPr="00082EE7" w:rsidRDefault="00A64DD0" w:rsidP="00A64DD0">
      <w:pPr>
        <w:rPr>
          <w:rFonts w:eastAsiaTheme="minorEastAsia"/>
        </w:rPr>
      </w:pPr>
      <w:r>
        <w:rPr>
          <w:rFonts w:eastAsiaTheme="minorEastAsia"/>
        </w:rPr>
        <w:t xml:space="preserve">Where </w:t>
      </w:r>
      <w:r w:rsidRPr="00A64DD0">
        <w:rPr>
          <w:rFonts w:eastAsiaTheme="minorEastAsia"/>
          <w:i/>
          <w:iCs/>
        </w:rPr>
        <w:t>s</w:t>
      </w:r>
      <w:r>
        <w:rPr>
          <w:rFonts w:eastAsiaTheme="minorEastAsia"/>
        </w:rPr>
        <w:t xml:space="preserve"> and </w:t>
      </w:r>
      <w:r w:rsidRPr="00A64DD0">
        <w:rPr>
          <w:rFonts w:eastAsiaTheme="minorEastAsia"/>
          <w:i/>
          <w:iCs/>
        </w:rPr>
        <w:t>g</w:t>
      </w:r>
      <w:r>
        <w:rPr>
          <w:rFonts w:eastAsiaTheme="minorEastAsia"/>
        </w:rPr>
        <w:t xml:space="preserve"> denote salts and dissolved substances, respectively and </w:t>
      </w:r>
      <m:oMath>
        <m:r>
          <w:rPr>
            <w:rFonts w:ascii="Cambria Math" w:hAnsi="Cambria Math"/>
          </w:rPr>
          <m:t>δ</m:t>
        </m:r>
      </m:oMath>
      <w:r>
        <w:rPr>
          <w:rFonts w:eastAsiaTheme="minorEastAsia"/>
        </w:rPr>
        <w:t xml:space="preserve"> is the average pathlength (=0.1058 m). Based on an analysis by X. Zhang (11/2024), </w:t>
      </w:r>
      <m:oMath>
        <m:sSub>
          <m:sSubPr>
            <m:ctrlPr>
              <w:rPr>
                <w:rFonts w:ascii="Cambria Math" w:hAnsi="Cambria Math"/>
                <w:i/>
              </w:rPr>
            </m:ctrlPr>
          </m:sSubPr>
          <m:e>
            <m:r>
              <w:rPr>
                <w:rFonts w:ascii="Cambria Math" w:hAnsi="Cambria Math"/>
              </w:rPr>
              <m:t>θ</m:t>
            </m:r>
          </m:e>
          <m:sub>
            <m:r>
              <w:rPr>
                <w:rFonts w:ascii="Cambria Math" w:hAnsi="Cambria Math"/>
              </w:rPr>
              <m:t>0</m:t>
            </m:r>
          </m:sub>
        </m:sSub>
        <m:r>
          <w:rPr>
            <w:rFonts w:ascii="Cambria Math" w:hAnsi="Cambria Math"/>
          </w:rPr>
          <m:t xml:space="preserve">=134±1.5° . </m:t>
        </m:r>
      </m:oMath>
      <w:r>
        <w:rPr>
          <w:rFonts w:eastAsiaTheme="minorEastAsia"/>
        </w:rPr>
        <w:t>The measurement of the total fraction (</w:t>
      </w:r>
      <m:oMath>
        <m:sSub>
          <m:sSubPr>
            <m:ctrlPr>
              <w:rPr>
                <w:rFonts w:ascii="Cambria Math" w:hAnsi="Cambria Math"/>
                <w:i/>
              </w:rPr>
            </m:ctrlPr>
          </m:sSubPr>
          <m:e>
            <m:r>
              <w:rPr>
                <w:rFonts w:ascii="Cambria Math" w:hAnsi="Cambria Math"/>
              </w:rPr>
              <m:t>β</m:t>
            </m:r>
          </m:e>
          <m:sub>
            <m:r>
              <w:rPr>
                <w:rFonts w:ascii="Cambria Math" w:hAnsi="Cambria Math"/>
              </w:rPr>
              <m:t>measured,total</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 xml:space="preserve">) </m:t>
        </m:r>
      </m:oMath>
      <w:r>
        <w:rPr>
          <w:rFonts w:eastAsiaTheme="minorEastAsia"/>
        </w:rPr>
        <w:t>relates to IOPs as follows:</w:t>
      </w:r>
    </w:p>
    <w:p w14:paraId="3F9501CA" w14:textId="77777777" w:rsidR="00A64DD0" w:rsidRPr="00790770" w:rsidRDefault="00000000" w:rsidP="00A64DD0">
      <w:pPr>
        <w:rPr>
          <w:rFonts w:eastAsiaTheme="minorEastAsia"/>
        </w:rPr>
      </w:pPr>
      <m:oMathPara>
        <m:oMath>
          <m:sSub>
            <m:sSubPr>
              <m:ctrlPr>
                <w:rPr>
                  <w:rFonts w:ascii="Cambria Math" w:hAnsi="Cambria Math"/>
                  <w:i/>
                </w:rPr>
              </m:ctrlPr>
            </m:sSubPr>
            <m:e>
              <m:r>
                <w:rPr>
                  <w:rFonts w:ascii="Cambria Math" w:hAnsi="Cambria Math"/>
                </w:rPr>
                <m:t>β</m:t>
              </m:r>
            </m:e>
            <m:sub>
              <m:r>
                <w:rPr>
                  <w:rFonts w:ascii="Cambria Math" w:hAnsi="Cambria Math"/>
                </w:rPr>
                <m:t>measured,total</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sw</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g</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p</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e>
          </m:d>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total</m:t>
                  </m:r>
                </m:sub>
              </m:sSub>
              <m:r>
                <w:rPr>
                  <w:rFonts w:ascii="Cambria Math" w:hAnsi="Cambria Math"/>
                </w:rPr>
                <m:t>δ</m:t>
              </m:r>
            </m:sup>
          </m:sSup>
          <m:r>
            <w:rPr>
              <w:rFonts w:ascii="Cambria Math" w:hAnsi="Cambria Math"/>
            </w:rPr>
            <m:t xml:space="preserve">, </m:t>
          </m:r>
        </m:oMath>
      </m:oMathPara>
    </w:p>
    <w:p w14:paraId="52728211" w14:textId="77777777" w:rsidR="00A64DD0" w:rsidRPr="00D73116" w:rsidRDefault="00000000" w:rsidP="00A64DD0">
      <w:pPr>
        <w:rPr>
          <w:rFonts w:eastAsiaTheme="minorEastAsia"/>
        </w:rPr>
      </w:pPr>
      <m:oMathPara>
        <m:oMath>
          <m:sSub>
            <m:sSubPr>
              <m:ctrlPr>
                <w:rPr>
                  <w:rFonts w:ascii="Cambria Math" w:hAnsi="Cambria Math"/>
                  <w:i/>
                </w:rPr>
              </m:ctrlPr>
            </m:sSubPr>
            <m:e>
              <m:r>
                <w:rPr>
                  <w:rFonts w:ascii="Cambria Math" w:hAnsi="Cambria Math"/>
                </w:rPr>
                <m:t>k</m:t>
              </m:r>
            </m:e>
            <m:sub>
              <m:r>
                <w:rPr>
                  <w:rFonts w:ascii="Cambria Math" w:hAnsi="Cambria Math"/>
                </w:rPr>
                <m:t>total</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g</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s</m:t>
                  </m:r>
                </m:sub>
              </m:sSub>
              <m:d>
                <m:dPr>
                  <m:ctrlPr>
                    <w:rPr>
                      <w:rFonts w:ascii="Cambria Math" w:hAnsi="Cambria Math"/>
                      <w:i/>
                    </w:rPr>
                  </m:ctrlPr>
                </m:dPr>
                <m:e>
                  <m:r>
                    <w:rPr>
                      <w:rFonts w:ascii="Cambria Math" w:hAnsi="Cambria Math"/>
                    </w:rPr>
                    <m:t>θ</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g</m:t>
                  </m:r>
                </m:sub>
              </m:sSub>
              <m:d>
                <m:dPr>
                  <m:ctrlPr>
                    <w:rPr>
                      <w:rFonts w:ascii="Cambria Math" w:hAnsi="Cambria Math"/>
                      <w:i/>
                    </w:rPr>
                  </m:ctrlPr>
                </m:dPr>
                <m:e>
                  <m:r>
                    <w:rPr>
                      <w:rFonts w:ascii="Cambria Math" w:hAnsi="Cambria Math"/>
                    </w:rPr>
                    <m:t>θ</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p</m:t>
                  </m:r>
                </m:sub>
              </m:sSub>
              <m:d>
                <m:dPr>
                  <m:ctrlPr>
                    <w:rPr>
                      <w:rFonts w:ascii="Cambria Math" w:hAnsi="Cambria Math"/>
                      <w:i/>
                    </w:rPr>
                  </m:ctrlPr>
                </m:dPr>
                <m:e>
                  <m:r>
                    <w:rPr>
                      <w:rFonts w:ascii="Cambria Math" w:hAnsi="Cambria Math"/>
                    </w:rPr>
                    <m:t>θ</m:t>
                  </m:r>
                </m:e>
              </m:d>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p</m:t>
                  </m:r>
                </m:sub>
              </m:sSub>
              <m:d>
                <m:dPr>
                  <m:ctrlPr>
                    <w:rPr>
                      <w:rFonts w:ascii="Cambria Math" w:hAnsi="Cambria Math"/>
                      <w:i/>
                    </w:rPr>
                  </m:ctrlPr>
                </m:dPr>
                <m:e>
                  <m:r>
                    <w:rPr>
                      <w:rFonts w:ascii="Cambria Math" w:hAnsi="Cambria Math"/>
                    </w:rPr>
                    <m:t>θ</m:t>
                  </m:r>
                </m:e>
              </m:d>
            </m:e>
          </m:d>
          <m:r>
            <w:rPr>
              <w:rFonts w:ascii="Cambria Math" w:hAnsi="Cambria Math"/>
            </w:rPr>
            <m:t>.</m:t>
          </m:r>
        </m:oMath>
      </m:oMathPara>
    </w:p>
    <w:p w14:paraId="0DF49E4B" w14:textId="1795641A" w:rsidR="00A64DD0" w:rsidRDefault="00A64DD0" w:rsidP="00A64DD0">
      <w:pPr>
        <w:rPr>
          <w:rFonts w:eastAsiaTheme="minorEastAsia"/>
        </w:rPr>
      </w:pPr>
      <w:r>
        <w:rPr>
          <w:rFonts w:eastAsiaTheme="minorEastAsia"/>
        </w:rPr>
        <w:t xml:space="preserve">Where </w:t>
      </w:r>
      <m:oMath>
        <m:r>
          <w:rPr>
            <w:rFonts w:ascii="Cambria Math" w:hAnsi="Cambria Math"/>
          </w:rPr>
          <m:t>k</m:t>
        </m:r>
      </m:oMath>
      <w:r>
        <w:rPr>
          <w:rFonts w:eastAsiaTheme="minorEastAsia"/>
        </w:rPr>
        <w:t xml:space="preserve"> an effective attenuation. Note that effects of salinity on absorption can also be neglected (</w:t>
      </w:r>
      <m:oMath>
        <m:sSub>
          <m:sSubPr>
            <m:ctrlPr>
              <w:rPr>
                <w:rFonts w:ascii="Cambria Math" w:hAnsi="Cambria Math"/>
                <w:i/>
              </w:rPr>
            </m:ctrlPr>
          </m:sSubPr>
          <m:e>
            <m:r>
              <w:rPr>
                <w:rFonts w:ascii="Cambria Math" w:hAnsi="Cambria Math"/>
              </w:rPr>
              <m:t>a</m:t>
            </m:r>
          </m:e>
          <m:sub>
            <m:r>
              <w:rPr>
                <w:rFonts w:ascii="Cambria Math" w:hAnsi="Cambria Math"/>
              </w:rPr>
              <m:t>s</m:t>
            </m:r>
          </m:sub>
        </m:sSub>
        <m:r>
          <w:rPr>
            <w:rFonts w:ascii="Cambria Math" w:hAnsi="Cambria Math"/>
          </w:rPr>
          <m:t>~0)</m:t>
        </m:r>
      </m:oMath>
      <w:r>
        <w:rPr>
          <w:rFonts w:eastAsiaTheme="minorEastAsia"/>
        </w:rPr>
        <w:t xml:space="preserve"> and will be ignored hereon.</w:t>
      </w:r>
    </w:p>
    <w:p w14:paraId="00684705" w14:textId="6A623218" w:rsidR="00A64DD0" w:rsidRPr="00082EE7" w:rsidRDefault="00A64DD0" w:rsidP="00A64DD0">
      <w:pPr>
        <w:rPr>
          <w:rFonts w:eastAsiaTheme="minorEastAsia"/>
        </w:rPr>
      </w:pPr>
      <w:r>
        <w:rPr>
          <w:rFonts w:eastAsiaTheme="minorEastAsia"/>
        </w:rPr>
        <w:t>Taking the difference between the two measurements (which takes care of wall effects and fouling if both are similar for the two measurements):</w:t>
      </w:r>
    </w:p>
    <w:p w14:paraId="33E1E5BC" w14:textId="5428A805" w:rsidR="00A64DD0" w:rsidRPr="00A64DD0" w:rsidRDefault="00000000" w:rsidP="00A64DD0">
      <w:pPr>
        <w:rPr>
          <w:rFonts w:eastAsiaTheme="minorEastAsia"/>
        </w:rPr>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measured,total</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-β</m:t>
              </m:r>
            </m:e>
            <m:sub>
              <m:r>
                <w:rPr>
                  <w:rFonts w:ascii="Cambria Math" w:hAnsi="Cambria Math"/>
                </w:rPr>
                <m:t>measured,0.2</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s</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g</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p</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e>
          </m:d>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total</m:t>
                  </m:r>
                </m:sub>
              </m:sSub>
              <m:r>
                <w:rPr>
                  <w:rFonts w:ascii="Cambria Math" w:hAnsi="Cambria Math"/>
                </w:rPr>
                <m:t>δ</m:t>
              </m:r>
            </m:sup>
          </m:s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s</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g</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e>
          </m:d>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0.2</m:t>
                  </m:r>
                </m:sub>
              </m:sSub>
              <m:r>
                <w:rPr>
                  <w:rFonts w:ascii="Cambria Math" w:hAnsi="Cambria Math"/>
                </w:rPr>
                <m:t>δ</m:t>
              </m:r>
            </m:sup>
          </m:sSup>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p</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total</m:t>
                  </m:r>
                </m:sub>
              </m:sSub>
              <m:r>
                <w:rPr>
                  <w:rFonts w:ascii="Cambria Math" w:hAnsi="Cambria Math"/>
                </w:rPr>
                <m:t>δ</m:t>
              </m:r>
            </m:sup>
          </m:s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s</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g</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e>
          </m:d>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total</m:t>
                      </m:r>
                    </m:sub>
                  </m:sSub>
                  <m:r>
                    <w:rPr>
                      <w:rFonts w:ascii="Cambria Math" w:hAnsi="Cambria Math"/>
                    </w:rPr>
                    <m:t>δ</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0.2</m:t>
                      </m:r>
                    </m:sub>
                  </m:sSub>
                  <m:r>
                    <w:rPr>
                      <w:rFonts w:ascii="Cambria Math" w:hAnsi="Cambria Math"/>
                    </w:rPr>
                    <m:t>δ</m:t>
                  </m:r>
                </m:sup>
              </m:sSup>
            </m:e>
          </m:d>
        </m:oMath>
      </m:oMathPara>
    </w:p>
    <w:p w14:paraId="7C371D5B" w14:textId="395D35D6" w:rsidR="00A64DD0" w:rsidRPr="00D73116" w:rsidRDefault="00A64DD0" w:rsidP="00A64DD0">
      <w:pPr>
        <w:rPr>
          <w:rFonts w:eastAsiaTheme="minorEastAsia"/>
        </w:rPr>
      </w:pPr>
      <w:r>
        <w:t xml:space="preserve">For small </w:t>
      </w:r>
      <m:oMath>
        <m:r>
          <w:rPr>
            <w:rFonts w:ascii="Cambria Math" w:hAnsi="Cambria Math"/>
          </w:rPr>
          <m:t>kδ</m:t>
        </m:r>
      </m:oMath>
      <w:r>
        <w:t xml:space="preserve">’s, e.g. open ocean, we can expand in a Taylor Series: </w:t>
      </w:r>
      <m:oMath>
        <m:sSup>
          <m:sSupPr>
            <m:ctrlPr>
              <w:rPr>
                <w:rFonts w:ascii="Cambria Math" w:hAnsi="Cambria Math"/>
                <w:i/>
              </w:rPr>
            </m:ctrlPr>
          </m:sSupPr>
          <m:e>
            <m:r>
              <w:rPr>
                <w:rFonts w:ascii="Cambria Math" w:hAnsi="Cambria Math"/>
              </w:rPr>
              <m:t>e</m:t>
            </m:r>
          </m:e>
          <m:sup>
            <m:r>
              <w:rPr>
                <w:rFonts w:ascii="Cambria Math" w:hAnsi="Cambria Math"/>
              </w:rPr>
              <m:t>-kδ</m:t>
            </m:r>
          </m:sup>
        </m:sSup>
        <m:r>
          <w:rPr>
            <w:rFonts w:ascii="Cambria Math" w:hAnsi="Cambria Math"/>
          </w:rPr>
          <m:t>=1-kδ-O</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kδ</m:t>
                        </m:r>
                      </m:e>
                    </m:d>
                  </m:e>
                  <m:sup>
                    <m:r>
                      <w:rPr>
                        <w:rFonts w:ascii="Cambria Math" w:hAnsi="Cambria Math"/>
                      </w:rPr>
                      <m:t>2</m:t>
                    </m:r>
                  </m:sup>
                </m:sSup>
              </m:num>
              <m:den>
                <m:r>
                  <w:rPr>
                    <w:rFonts w:ascii="Cambria Math" w:hAnsi="Cambria Math"/>
                  </w:rPr>
                  <m:t>2</m:t>
                </m:r>
              </m:den>
            </m:f>
          </m:e>
        </m:d>
        <m:r>
          <w:rPr>
            <w:rFonts w:ascii="Cambria Math" w:hAnsi="Cambria Math"/>
          </w:rPr>
          <m:t>.</m:t>
        </m:r>
      </m:oMath>
    </w:p>
    <w:p w14:paraId="696E37DF" w14:textId="77777777" w:rsidR="00A64DD0" w:rsidRDefault="00A64DD0" w:rsidP="00A64DD0">
      <w:pPr>
        <w:rPr>
          <w:rFonts w:eastAsiaTheme="minorEastAsia"/>
        </w:rPr>
      </w:pPr>
      <w:r w:rsidRPr="00D73116">
        <w:rPr>
          <w:rFonts w:eastAsiaTheme="minorEastAsia"/>
        </w:rPr>
        <w:sym w:font="Wingdings" w:char="F0E0"/>
      </w:r>
      <m:oMath>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measured,total</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-β</m:t>
            </m:r>
          </m:e>
          <m:sub>
            <m:r>
              <w:rPr>
                <w:rFonts w:ascii="Cambria Math" w:hAnsi="Cambria Math"/>
              </w:rPr>
              <m:t>measured,0.2</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p</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k</m:t>
                </m:r>
              </m:e>
              <m:sub>
                <m:r>
                  <w:rPr>
                    <w:rFonts w:ascii="Cambria Math" w:hAnsi="Cambria Math"/>
                  </w:rPr>
                  <m:t>total</m:t>
                </m:r>
              </m:sub>
            </m:sSub>
            <m:r>
              <w:rPr>
                <w:rFonts w:ascii="Cambria Math" w:hAnsi="Cambria Math"/>
              </w:rPr>
              <m:t>δ</m:t>
            </m:r>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s</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g</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e>
        </m:d>
        <m:r>
          <w:rPr>
            <w:rFonts w:ascii="Cambria Math" w:hAnsi="Cambria Math"/>
          </w:rPr>
          <m:t>δ(</m:t>
        </m:r>
        <m:sSub>
          <m:sSubPr>
            <m:ctrlPr>
              <w:rPr>
                <w:rFonts w:ascii="Cambria Math" w:hAnsi="Cambria Math"/>
                <w:i/>
              </w:rPr>
            </m:ctrlPr>
          </m:sSubPr>
          <m:e>
            <m:sSub>
              <m:sSubPr>
                <m:ctrlPr>
                  <w:rPr>
                    <w:rFonts w:ascii="Cambria Math" w:hAnsi="Cambria Math"/>
                    <w:i/>
                  </w:rPr>
                </m:ctrlPr>
              </m:sSubPr>
              <m:e>
                <m:r>
                  <w:rPr>
                    <w:rFonts w:ascii="Cambria Math" w:hAnsi="Cambria Math"/>
                  </w:rPr>
                  <m:t>k</m:t>
                </m:r>
              </m:e>
              <m:sub>
                <m:r>
                  <w:rPr>
                    <w:rFonts w:ascii="Cambria Math" w:hAnsi="Cambria Math"/>
                  </w:rPr>
                  <m:t>0.2</m:t>
                </m:r>
              </m:sub>
            </m:sSub>
            <m:r>
              <w:rPr>
                <w:rFonts w:ascii="Cambria Math" w:hAnsi="Cambria Math"/>
              </w:rPr>
              <m:t>-k</m:t>
            </m:r>
          </m:e>
          <m:sub>
            <m:r>
              <w:rPr>
                <w:rFonts w:ascii="Cambria Math" w:hAnsi="Cambria Math"/>
              </w:rPr>
              <m:t>total</m:t>
            </m:r>
          </m:sub>
        </m:sSub>
        <m:r>
          <w:rPr>
            <w:rFonts w:ascii="Cambria Math" w:hAnsi="Cambria Math"/>
          </w:rPr>
          <m:t>)</m:t>
        </m:r>
      </m:oMath>
      <w:r>
        <w:rPr>
          <w:rFonts w:eastAsiaTheme="minorEastAsia"/>
        </w:rPr>
        <w:t>.</w:t>
      </w:r>
    </w:p>
    <w:p w14:paraId="446263F7" w14:textId="77777777" w:rsidR="00A64DD0" w:rsidRDefault="00A64DD0" w:rsidP="00A64DD0">
      <w:pPr>
        <w:rPr>
          <w:rFonts w:eastAsiaTheme="minorEastAsia"/>
        </w:rPr>
      </w:pPr>
      <w:r>
        <w:rPr>
          <w:rFonts w:eastAsiaTheme="minorEastAsia"/>
        </w:rPr>
        <w:t xml:space="preserve">Neglecting the second term (assuming negligible scattering by salts and dissolved substances and given that </w:t>
      </w:r>
      <w:r w:rsidRPr="00790770">
        <w:rPr>
          <w:rFonts w:ascii="Cambria Math" w:hAnsi="Cambria Math"/>
          <w:i/>
        </w:rPr>
        <w:t xml:space="preserve"> </w:t>
      </w:r>
      <m:oMath>
        <m:r>
          <w:rPr>
            <w:rFonts w:ascii="Cambria Math" w:hAnsi="Cambria Math"/>
          </w:rPr>
          <m:t>δ</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k</m:t>
                    </m:r>
                  </m:e>
                  <m:sub>
                    <m:r>
                      <w:rPr>
                        <w:rFonts w:ascii="Cambria Math" w:hAnsi="Cambria Math"/>
                      </w:rPr>
                      <m:t>0.2</m:t>
                    </m:r>
                  </m:sub>
                </m:sSub>
                <m:r>
                  <w:rPr>
                    <w:rFonts w:ascii="Cambria Math" w:hAnsi="Cambria Math"/>
                  </w:rPr>
                  <m:t>-k</m:t>
                </m:r>
              </m:e>
              <m:sub>
                <m:r>
                  <w:rPr>
                    <w:rFonts w:ascii="Cambria Math" w:hAnsi="Cambria Math"/>
                  </w:rPr>
                  <m:t>total</m:t>
                </m:r>
              </m:sub>
            </m:sSub>
          </m:e>
        </m:d>
        <m:r>
          <w:rPr>
            <w:rFonts w:ascii="Cambria Math" w:hAnsi="Cambria Math"/>
          </w:rPr>
          <m:t>≪1</m:t>
        </m:r>
      </m:oMath>
      <w:r>
        <w:rPr>
          <w:rFonts w:eastAsiaTheme="minorEastAsia"/>
        </w:rPr>
        <w:t>:</w:t>
      </w:r>
    </w:p>
    <w:p w14:paraId="0DA1E189" w14:textId="77777777" w:rsidR="00A64DD0" w:rsidRDefault="00000000" w:rsidP="00A64DD0">
      <w:pPr>
        <w:jc w:val="center"/>
        <w:rPr>
          <w:rFonts w:eastAsiaTheme="minorEastAsia"/>
        </w:rPr>
      </w:pPr>
      <m:oMath>
        <m:sSub>
          <m:sSubPr>
            <m:ctrlPr>
              <w:rPr>
                <w:rFonts w:ascii="Cambria Math" w:hAnsi="Cambria Math"/>
                <w:i/>
              </w:rPr>
            </m:ctrlPr>
          </m:sSubPr>
          <m:e>
            <m:r>
              <w:rPr>
                <w:rFonts w:ascii="Cambria Math" w:hAnsi="Cambria Math"/>
              </w:rPr>
              <m:t>β</m:t>
            </m:r>
          </m:e>
          <m:sub>
            <m:r>
              <w:rPr>
                <w:rFonts w:ascii="Cambria Math" w:hAnsi="Cambria Math"/>
              </w:rPr>
              <m:t>p</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m:t>
        </m:r>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measured,total</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-β</m:t>
                    </m:r>
                  </m:e>
                  <m:sub>
                    <m:r>
                      <w:rPr>
                        <w:rFonts w:ascii="Cambria Math" w:hAnsi="Cambria Math"/>
                      </w:rPr>
                      <m:t>measured,0.2</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e>
            </m:d>
          </m:num>
          <m:den>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k</m:t>
                    </m:r>
                  </m:e>
                  <m:sub>
                    <m:r>
                      <w:rPr>
                        <w:rFonts w:ascii="Cambria Math" w:hAnsi="Cambria Math"/>
                      </w:rPr>
                      <m:t>total</m:t>
                    </m:r>
                  </m:sub>
                </m:sSub>
                <m:r>
                  <w:rPr>
                    <w:rFonts w:ascii="Cambria Math" w:hAnsi="Cambria Math"/>
                  </w:rPr>
                  <m:t>δ</m:t>
                </m:r>
              </m:e>
            </m:d>
          </m:den>
        </m:f>
      </m:oMath>
      <w:r w:rsidR="00A64DD0">
        <w:rPr>
          <w:rFonts w:eastAsiaTheme="minorEastAsia"/>
        </w:rPr>
        <w:t>.</w:t>
      </w:r>
      <w:r w:rsidR="00A64DD0">
        <w:rPr>
          <w:rFonts w:eastAsiaTheme="minorEastAsia"/>
        </w:rPr>
        <w:tab/>
      </w:r>
      <w:r w:rsidR="00A64DD0">
        <w:rPr>
          <w:rFonts w:eastAsiaTheme="minorEastAsia"/>
        </w:rPr>
        <w:tab/>
      </w:r>
      <w:r w:rsidR="00A64DD0">
        <w:rPr>
          <w:rFonts w:eastAsiaTheme="minorEastAsia"/>
        </w:rPr>
        <w:tab/>
        <w:t>(1)</w:t>
      </w:r>
    </w:p>
    <w:p w14:paraId="7C57CC97" w14:textId="77777777" w:rsidR="00A64DD0" w:rsidRDefault="00A64DD0" w:rsidP="00A64DD0">
      <w:pPr>
        <w:rPr>
          <w:rFonts w:eastAsiaTheme="minorEastAsia"/>
        </w:rPr>
      </w:pPr>
    </w:p>
    <w:p w14:paraId="4F50A588" w14:textId="77777777" w:rsidR="00A64DD0" w:rsidRDefault="00A64DD0" w:rsidP="00A64DD0">
      <w:pPr>
        <w:rPr>
          <w:rFonts w:eastAsiaTheme="minorEastAsia"/>
        </w:rPr>
      </w:pPr>
      <w:r>
        <w:rPr>
          <w:rFonts w:eastAsiaTheme="minorEastAsia"/>
        </w:rPr>
        <w:t xml:space="preserve">When </w:t>
      </w:r>
      <m:oMath>
        <m:r>
          <w:rPr>
            <w:rFonts w:ascii="Cambria Math" w:hAnsi="Cambria Math"/>
          </w:rPr>
          <m:t>kδ</m:t>
        </m:r>
      </m:oMath>
      <w:r>
        <w:rPr>
          <w:rFonts w:eastAsiaTheme="minorEastAsia"/>
        </w:rPr>
        <w:t xml:space="preserve">’s are larger, we go back to (neglecting </w:t>
      </w:r>
      <m:oMath>
        <m:sSub>
          <m:sSubPr>
            <m:ctrlPr>
              <w:rPr>
                <w:rFonts w:ascii="Cambria Math" w:hAnsi="Cambria Math"/>
                <w:i/>
              </w:rPr>
            </m:ctrlPr>
          </m:sSubPr>
          <m:e>
            <m:r>
              <w:rPr>
                <w:rFonts w:ascii="Cambria Math" w:hAnsi="Cambria Math"/>
              </w:rPr>
              <m:t>β</m:t>
            </m:r>
          </m:e>
          <m:sub>
            <m:r>
              <w:rPr>
                <w:rFonts w:ascii="Cambria Math" w:hAnsi="Cambria Math"/>
              </w:rPr>
              <m:t>s</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m:t>
        </m:r>
      </m:oMath>
      <w:r>
        <w:rPr>
          <w:rFonts w:eastAsiaTheme="minorEastAsia"/>
        </w:rPr>
        <w:t>:</w:t>
      </w:r>
    </w:p>
    <w:p w14:paraId="63EB22CD" w14:textId="77777777" w:rsidR="00A64DD0" w:rsidRPr="00D73116" w:rsidRDefault="00000000" w:rsidP="00A64DD0">
      <w:pPr>
        <w:rPr>
          <w:rFonts w:eastAsiaTheme="minorEastAsia"/>
        </w:rPr>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measured,total</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-β</m:t>
              </m:r>
            </m:e>
            <m:sub>
              <m:r>
                <w:rPr>
                  <w:rFonts w:ascii="Cambria Math" w:hAnsi="Cambria Math"/>
                </w:rPr>
                <m:t>measured,0.2</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g</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p</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e>
          </m:d>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total</m:t>
                  </m:r>
                </m:sub>
              </m:sSub>
              <m:r>
                <w:rPr>
                  <w:rFonts w:ascii="Cambria Math" w:hAnsi="Cambria Math"/>
                </w:rPr>
                <m:t>δ</m:t>
              </m:r>
            </m:sup>
          </m:sSup>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g</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0.2</m:t>
                  </m:r>
                </m:sub>
              </m:sSub>
              <m:r>
                <w:rPr>
                  <w:rFonts w:ascii="Cambria Math" w:hAnsi="Cambria Math"/>
                </w:rPr>
                <m:t>δ</m:t>
              </m:r>
            </m:sup>
          </m:sSup>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p</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total</m:t>
                  </m:r>
                </m:sub>
              </m:sSub>
              <m:r>
                <w:rPr>
                  <w:rFonts w:ascii="Cambria Math" w:hAnsi="Cambria Math"/>
                </w:rPr>
                <m:t>δ</m:t>
              </m:r>
            </m:sup>
          </m:sSup>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g</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total</m:t>
                      </m:r>
                    </m:sub>
                  </m:sSub>
                  <m:r>
                    <w:rPr>
                      <w:rFonts w:ascii="Cambria Math" w:hAnsi="Cambria Math"/>
                    </w:rPr>
                    <m:t>δ</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0.2</m:t>
                      </m:r>
                    </m:sub>
                  </m:sSub>
                  <m:r>
                    <w:rPr>
                      <w:rFonts w:ascii="Cambria Math" w:hAnsi="Cambria Math"/>
                    </w:rPr>
                    <m:t>δ</m:t>
                  </m:r>
                </m:sup>
              </m:sSup>
            </m:e>
          </m:d>
        </m:oMath>
      </m:oMathPara>
    </w:p>
    <w:p w14:paraId="1E56C6A4" w14:textId="4ED47F46" w:rsidR="00A64DD0" w:rsidRDefault="00A64DD0" w:rsidP="00A64DD0">
      <w:pPr>
        <w:rPr>
          <w:rFonts w:eastAsiaTheme="minorEastAsia"/>
        </w:rPr>
      </w:pPr>
      <w:r w:rsidRPr="00A528D8">
        <w:rPr>
          <w:rFonts w:ascii="Cambria Math" w:hAnsi="Cambria Math"/>
          <w:i/>
        </w:rPr>
        <w:br/>
      </w:r>
      <m:oMathPara>
        <m:oMath>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p</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measured,total</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-β</m:t>
                  </m:r>
                </m:e>
                <m:sub>
                  <m:r>
                    <w:rPr>
                      <w:rFonts w:ascii="Cambria Math" w:hAnsi="Cambria Math"/>
                    </w:rPr>
                    <m:t>measured,0.2</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g</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total</m:t>
                          </m:r>
                        </m:sub>
                      </m:sSub>
                      <m:r>
                        <w:rPr>
                          <w:rFonts w:ascii="Cambria Math" w:hAnsi="Cambria Math"/>
                        </w:rPr>
                        <m:t>δ</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0.2</m:t>
                          </m:r>
                        </m:sub>
                      </m:sSub>
                      <m:r>
                        <w:rPr>
                          <w:rFonts w:ascii="Cambria Math" w:hAnsi="Cambria Math"/>
                        </w:rPr>
                        <m:t>δ</m:t>
                      </m:r>
                    </m:sup>
                  </m:sSup>
                </m:e>
              </m:d>
            </m:e>
          </m:d>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k</m:t>
                  </m:r>
                </m:e>
                <m:sub>
                  <m:r>
                    <w:rPr>
                      <w:rFonts w:ascii="Cambria Math" w:hAnsi="Cambria Math"/>
                    </w:rPr>
                    <m:t>total</m:t>
                  </m:r>
                </m:sub>
              </m:sSub>
              <m:r>
                <w:rPr>
                  <w:rFonts w:ascii="Cambria Math" w:hAnsi="Cambria Math"/>
                </w:rPr>
                <m:t>δ</m:t>
              </m:r>
            </m:sup>
          </m:sSup>
          <m:r>
            <m:rPr>
              <m:sty m:val="p"/>
            </m:rPr>
            <w:rPr>
              <w:rFonts w:ascii="Cambria Math" w:hAnsi="Cambria Math"/>
            </w:rPr>
            <w:softHyphen/>
          </m:r>
        </m:oMath>
      </m:oMathPara>
    </w:p>
    <w:p w14:paraId="1E41F6F0" w14:textId="49237FBD" w:rsidR="00A64DD0" w:rsidRDefault="00A64DD0" w:rsidP="00A64DD0">
      <w:pPr>
        <w:rPr>
          <w:rFonts w:eastAsiaTheme="minorEastAsia"/>
        </w:rPr>
      </w:pPr>
      <w:r>
        <w:rPr>
          <w:rFonts w:eastAsiaTheme="minorEastAsia"/>
        </w:rPr>
        <w:t xml:space="preserve"> Which, if we ignore scattering by salts and dissolved materials reduces to:</w:t>
      </w:r>
    </w:p>
    <w:p w14:paraId="3774BC86" w14:textId="47E73798" w:rsidR="00A64DD0" w:rsidRDefault="00A64DD0" w:rsidP="00A64DD0">
      <w:pPr>
        <w:ind w:firstLine="720"/>
        <w:rPr>
          <w:rFonts w:eastAsiaTheme="minorEastAsia"/>
        </w:rPr>
      </w:pPr>
      <w:r>
        <w:rPr>
          <w:rFonts w:eastAsiaTheme="minorEastAsia"/>
        </w:rPr>
        <w:t xml:space="preserve"> </w:t>
      </w:r>
      <m:oMath>
        <m:sSub>
          <m:sSubPr>
            <m:ctrlPr>
              <w:rPr>
                <w:rFonts w:ascii="Cambria Math" w:hAnsi="Cambria Math"/>
                <w:i/>
              </w:rPr>
            </m:ctrlPr>
          </m:sSubPr>
          <m:e>
            <m:r>
              <w:rPr>
                <w:rFonts w:ascii="Cambria Math" w:hAnsi="Cambria Math"/>
              </w:rPr>
              <m:t>β</m:t>
            </m:r>
          </m:e>
          <m:sub>
            <m:r>
              <w:rPr>
                <w:rFonts w:ascii="Cambria Math" w:hAnsi="Cambria Math"/>
              </w:rPr>
              <m:t>p</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measured,total</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measured,0.2</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sSup>
              <m:sSupPr>
                <m:ctrlPr>
                  <w:rPr>
                    <w:rFonts w:ascii="Cambria Math" w:hAnsi="Cambria Math"/>
                    <w:i/>
                  </w:rPr>
                </m:ctrlPr>
              </m:sSupPr>
              <m:e>
                <m:r>
                  <w:rPr>
                    <w:rFonts w:ascii="Cambria Math" w:hAnsi="Cambria Math"/>
                  </w:rPr>
                  <m:t>e</m:t>
                </m:r>
              </m:e>
              <m: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total</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0.2</m:t>
                        </m:r>
                      </m:sub>
                    </m:sSub>
                  </m:e>
                </m:d>
                <m:r>
                  <w:rPr>
                    <w:rFonts w:ascii="Cambria Math" w:hAnsi="Cambria Math"/>
                  </w:rPr>
                  <m:t>δ</m:t>
                </m:r>
              </m:sup>
            </m:sSup>
          </m:e>
        </m:d>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k</m:t>
                </m:r>
              </m:e>
              <m:sub>
                <m:r>
                  <w:rPr>
                    <w:rFonts w:ascii="Cambria Math" w:hAnsi="Cambria Math"/>
                  </w:rPr>
                  <m:t>total</m:t>
                </m:r>
              </m:sub>
            </m:sSub>
            <m:r>
              <w:rPr>
                <w:rFonts w:ascii="Cambria Math" w:hAnsi="Cambria Math"/>
              </w:rPr>
              <m:t>δ</m:t>
            </m:r>
          </m:sup>
        </m:sSup>
      </m:oMath>
    </w:p>
    <w:p w14:paraId="54AB6B56" w14:textId="7A7B52A8" w:rsidR="00A64DD0" w:rsidRDefault="00A64DD0" w:rsidP="00A64DD0">
      <w:pPr>
        <w:rPr>
          <w:rFonts w:eastAsiaTheme="minorEastAsia"/>
        </w:rPr>
      </w:pPr>
      <w:r>
        <w:rPr>
          <w:rFonts w:eastAsiaTheme="minorEastAsia"/>
        </w:rPr>
        <w:t xml:space="preserve">The next step is to figure out the value of </w:t>
      </w:r>
      <m:oMath>
        <m:r>
          <w:rPr>
            <w:rFonts w:ascii="Cambria Math" w:hAnsi="Cambria Math"/>
          </w:rPr>
          <m:t>k</m:t>
        </m:r>
      </m:oMath>
      <w:r>
        <w:rPr>
          <w:rFonts w:eastAsiaTheme="minorEastAsia"/>
        </w:rPr>
        <w:t xml:space="preserve">. Zhang et al., 2021, argue for doing a MC simulation based on an assumed FF VSF (assuming we know the backscattering ratio, for example). Their results show that the </w:t>
      </w:r>
      <w:proofErr w:type="spellStart"/>
      <w:r>
        <w:rPr>
          <w:rFonts w:eastAsiaTheme="minorEastAsia"/>
        </w:rPr>
        <w:t>Doxaran</w:t>
      </w:r>
      <w:proofErr w:type="spellEnd"/>
      <w:r>
        <w:rPr>
          <w:rFonts w:eastAsiaTheme="minorEastAsia"/>
        </w:rPr>
        <w:t xml:space="preserve"> et al., 2016 method is reasonable as well. This method was devised for H-bb type instrument (</w:t>
      </w:r>
      <m:oMath>
        <m:r>
          <w:rPr>
            <w:rFonts w:ascii="Cambria Math" w:hAnsi="Cambria Math"/>
          </w:rPr>
          <m:t>δ=0.1058m)</m:t>
        </m:r>
      </m:oMath>
      <w:r>
        <w:rPr>
          <w:rFonts w:eastAsiaTheme="minorEastAsia"/>
        </w:rPr>
        <w:t xml:space="preserve">: with </w:t>
      </w:r>
      <m:oMath>
        <m:sSub>
          <m:sSubPr>
            <m:ctrlPr>
              <w:rPr>
                <w:rFonts w:ascii="Cambria Math" w:hAnsi="Cambria Math"/>
                <w:i/>
              </w:rPr>
            </m:ctrlPr>
          </m:sSubPr>
          <m:e>
            <m:r>
              <w:rPr>
                <w:rFonts w:ascii="Cambria Math" w:hAnsi="Cambria Math"/>
              </w:rPr>
              <m:t>k</m:t>
            </m:r>
          </m:e>
          <m:sub>
            <m:r>
              <w:rPr>
                <w:rFonts w:ascii="Cambria Math" w:hAnsi="Cambria Math"/>
              </w:rPr>
              <m:t>total</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g</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+3.3</m:t>
        </m:r>
        <m:sSub>
          <m:sSubPr>
            <m:ctrlPr>
              <w:rPr>
                <w:rFonts w:ascii="Cambria Math" w:hAnsi="Cambria Math"/>
                <w:i/>
              </w:rPr>
            </m:ctrlPr>
          </m:sSubPr>
          <m:e>
            <m:r>
              <w:rPr>
                <w:rFonts w:ascii="Cambria Math" w:hAnsi="Cambria Math"/>
              </w:rPr>
              <m:t>b</m:t>
            </m:r>
          </m:e>
          <m:sub>
            <m:r>
              <w:rPr>
                <w:rFonts w:ascii="Cambria Math" w:hAnsi="Cambria Math"/>
              </w:rPr>
              <m:t>p</m:t>
            </m:r>
          </m:sub>
        </m:sSub>
      </m:oMath>
    </w:p>
    <w:p w14:paraId="4F419DBB" w14:textId="77777777" w:rsidR="00A64DD0" w:rsidRPr="00266C4B" w:rsidRDefault="00A64DD0" w:rsidP="00A64DD0">
      <w:pPr>
        <w:rPr>
          <w:rFonts w:eastAsiaTheme="minorEastAsia"/>
        </w:rPr>
      </w:pPr>
      <m:oMath>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p</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r>
              <w:rPr>
                <w:rFonts w:ascii="Cambria Math" w:hAnsi="Cambria Math"/>
              </w:rPr>
              <m:t>,λ</m:t>
            </m:r>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measured,total</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r>
                  <w:rPr>
                    <w:rFonts w:ascii="Cambria Math" w:hAnsi="Cambria Math"/>
                  </w:rPr>
                  <m:t>,λ</m:t>
                </m:r>
              </m:e>
            </m:d>
          </m:e>
        </m:d>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g</m:t>
                </m:r>
              </m:sub>
            </m:sSub>
            <m:r>
              <w:rPr>
                <w:rFonts w:ascii="Cambria Math" w:hAnsi="Cambria Math"/>
              </w:rPr>
              <m:t>(λ)+</m:t>
            </m:r>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(λ)+6.6</m:t>
            </m:r>
            <m:sSub>
              <m:sSubPr>
                <m:ctrlPr>
                  <w:rPr>
                    <w:rFonts w:ascii="Cambria Math" w:hAnsi="Cambria Math"/>
                    <w:i/>
                  </w:rPr>
                </m:ctrlPr>
              </m:sSubPr>
              <m:e>
                <m:r>
                  <w:rPr>
                    <w:rFonts w:ascii="Cambria Math" w:hAnsi="Cambria Math"/>
                  </w:rPr>
                  <m:t>×χ</m:t>
                </m:r>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×π×β</m:t>
                </m:r>
              </m:e>
              <m:sub>
                <m:r>
                  <w:rPr>
                    <w:rFonts w:ascii="Cambria Math" w:hAnsi="Cambria Math"/>
                  </w:rPr>
                  <m:t>p</m:t>
                </m:r>
              </m:sub>
            </m:sSub>
            <m:d>
              <m:dPr>
                <m:ctrlPr>
                  <w:rPr>
                    <w:rFonts w:ascii="Cambria Math" w:hAnsi="Cambria Math"/>
                    <w:i/>
                  </w:rPr>
                </m:ctrlPr>
              </m:dPr>
              <m:e>
                <m:sSub>
                  <m:sSubPr>
                    <m:ctrlPr>
                      <w:rPr>
                        <w:rFonts w:ascii="Cambria Math" w:hAnsi="Cambria Math"/>
                        <w:i/>
                      </w:rPr>
                    </m:ctrlPr>
                  </m:sSubPr>
                  <m:e>
                    <m:r>
                      <w:rPr>
                        <w:rFonts w:ascii="Cambria Math" w:hAnsi="Cambria Math"/>
                      </w:rPr>
                      <m:t>λ,θ</m:t>
                    </m:r>
                  </m:e>
                  <m:sub>
                    <m:r>
                      <w:rPr>
                        <w:rFonts w:ascii="Cambria Math" w:hAnsi="Cambria Math"/>
                      </w:rPr>
                      <m:t>0</m:t>
                    </m:r>
                  </m:sub>
                </m:sSub>
              </m:e>
            </m:d>
            <m:r>
              <w:rPr>
                <w:rFonts w:ascii="Cambria Math" w:hAnsi="Cambria Math"/>
              </w:rPr>
              <m:t>)×0.106</m:t>
            </m:r>
          </m:sup>
        </m:sSup>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measured,0.2</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r>
              <w:rPr>
                <w:rFonts w:ascii="Cambria Math" w:hAnsi="Cambria Math"/>
              </w:rPr>
              <m:t>,λ</m:t>
            </m:r>
          </m:e>
        </m:d>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a</m:t>
                </m:r>
              </m:e>
              <m:sub>
                <m:r>
                  <w:rPr>
                    <w:rFonts w:ascii="Cambria Math" w:hAnsi="Cambria Math"/>
                  </w:rPr>
                  <m:t>g</m:t>
                </m:r>
              </m:sub>
            </m:sSub>
            <m:d>
              <m:dPr>
                <m:ctrlPr>
                  <w:rPr>
                    <w:rFonts w:ascii="Cambria Math" w:hAnsi="Cambria Math"/>
                    <w:i/>
                  </w:rPr>
                </m:ctrlPr>
              </m:dPr>
              <m:e>
                <m:r>
                  <w:rPr>
                    <w:rFonts w:ascii="Cambria Math" w:hAnsi="Cambria Math"/>
                  </w:rPr>
                  <m:t>λ</m:t>
                </m:r>
              </m:e>
            </m:d>
            <m:r>
              <w:rPr>
                <w:rFonts w:ascii="Cambria Math" w:hAnsi="Cambria Math"/>
              </w:rPr>
              <m:t>×0.106</m:t>
            </m:r>
          </m:sup>
        </m:sSup>
        <m:r>
          <w:rPr>
            <w:rFonts w:ascii="Cambria Math" w:hAnsi="Cambria Math"/>
          </w:rPr>
          <m:t xml:space="preserve"> </m:t>
        </m:r>
      </m:oMath>
      <w:r>
        <w:rPr>
          <w:rFonts w:eastAsiaTheme="minorEastAsia"/>
        </w:rPr>
        <w:t>(2)</w:t>
      </w:r>
    </w:p>
    <w:p w14:paraId="2A46E11D" w14:textId="1D392D1C" w:rsidR="009E0333" w:rsidRDefault="00A64DD0" w:rsidP="00E96993">
      <w:pPr>
        <w:spacing w:line="240" w:lineRule="auto"/>
        <w:jc w:val="both"/>
        <w:rPr>
          <w:rFonts w:eastAsiaTheme="minorEastAsia"/>
        </w:rPr>
      </w:pPr>
      <w:r>
        <w:rPr>
          <w:color w:val="000000" w:themeColor="text1"/>
        </w:rPr>
        <w:t xml:space="preserve">For the processing here we used a LUT created by </w:t>
      </w:r>
      <w:r>
        <w:rPr>
          <w:rFonts w:eastAsiaTheme="minorEastAsia"/>
        </w:rPr>
        <w:t>Zhang et al., 2024 to obtain the correction. The filtered VSF are based on the 25</w:t>
      </w:r>
      <w:r w:rsidRPr="00A64DD0">
        <w:rPr>
          <w:rFonts w:eastAsiaTheme="minorEastAsia"/>
          <w:vertAlign w:val="superscript"/>
        </w:rPr>
        <w:t>th</w:t>
      </w:r>
      <w:r>
        <w:rPr>
          <w:rFonts w:eastAsiaTheme="minorEastAsia"/>
        </w:rPr>
        <w:t xml:space="preserve"> percentile of data during the filtered period. </w:t>
      </w:r>
      <w:r w:rsidR="00E96993">
        <w:rPr>
          <w:rFonts w:eastAsiaTheme="minorEastAsia"/>
        </w:rPr>
        <w:t xml:space="preserve">We provided it the IOPs measured on </w:t>
      </w:r>
      <w:r w:rsidR="009E0333">
        <w:rPr>
          <w:rFonts w:eastAsiaTheme="minorEastAsia"/>
        </w:rPr>
        <w:t xml:space="preserve">the same underway continuous sampling system onboard the </w:t>
      </w:r>
      <w:r w:rsidR="00743D85">
        <w:rPr>
          <w:rFonts w:eastAsiaTheme="minorEastAsia"/>
        </w:rPr>
        <w:t>R/V Thomas G. Thompson</w:t>
      </w:r>
      <w:r w:rsidR="009E0333">
        <w:rPr>
          <w:rFonts w:eastAsiaTheme="minorEastAsia"/>
        </w:rPr>
        <w:t>:</w:t>
      </w:r>
    </w:p>
    <w:p w14:paraId="44E95902" w14:textId="77777777" w:rsidR="009E0333" w:rsidRDefault="00E96993" w:rsidP="009E0333">
      <w:pPr>
        <w:pStyle w:val="ListParagraph"/>
        <w:numPr>
          <w:ilvl w:val="0"/>
          <w:numId w:val="3"/>
        </w:numPr>
        <w:spacing w:line="240" w:lineRule="auto"/>
        <w:jc w:val="both"/>
        <w:rPr>
          <w:rFonts w:eastAsiaTheme="minorEastAsia"/>
        </w:rPr>
      </w:pPr>
      <w:r w:rsidRPr="009E0333">
        <w:rPr>
          <w:rFonts w:eastAsiaTheme="minorEastAsia"/>
        </w:rPr>
        <w:t>particulate absorption</w:t>
      </w:r>
      <w:r w:rsidR="009E0333" w:rsidRPr="009E0333">
        <w:rPr>
          <w:rFonts w:eastAsiaTheme="minorEastAsia"/>
        </w:rPr>
        <w:t xml:space="preserve"> and</w:t>
      </w:r>
      <w:r w:rsidRPr="009E0333">
        <w:rPr>
          <w:rFonts w:eastAsiaTheme="minorEastAsia"/>
        </w:rPr>
        <w:t xml:space="preserve"> beam attenuation</w:t>
      </w:r>
    </w:p>
    <w:p w14:paraId="4FF5F4B7" w14:textId="0F6BE9D7" w:rsidR="00743D85" w:rsidRDefault="00743D85" w:rsidP="009E0333">
      <w:pPr>
        <w:pStyle w:val="ListParagraph"/>
        <w:numPr>
          <w:ilvl w:val="0"/>
          <w:numId w:val="3"/>
        </w:numPr>
        <w:spacing w:line="240" w:lineRule="auto"/>
        <w:jc w:val="both"/>
        <w:rPr>
          <w:rFonts w:eastAsiaTheme="minorEastAsia"/>
        </w:rPr>
      </w:pPr>
      <w:r>
        <w:rPr>
          <w:rFonts w:eastAsiaTheme="minorEastAsia"/>
        </w:rPr>
        <w:t>a</w:t>
      </w:r>
      <w:r w:rsidRPr="00743D85">
        <w:rPr>
          <w:rFonts w:eastAsiaTheme="minorEastAsia"/>
          <w:vertAlign w:val="subscript"/>
        </w:rPr>
        <w:t>g</w:t>
      </w:r>
      <w:r>
        <w:rPr>
          <w:rFonts w:eastAsiaTheme="minorEastAsia"/>
        </w:rPr>
        <w:t xml:space="preserve">440 estimated from chlorophyll concentration </w:t>
      </w:r>
      <w:r w:rsidR="005136BE">
        <w:rPr>
          <w:rFonts w:eastAsiaTheme="minorEastAsia"/>
        </w:rPr>
        <w:t xml:space="preserve">measured from the </w:t>
      </w:r>
      <w:r>
        <w:rPr>
          <w:rFonts w:eastAsiaTheme="minorEastAsia"/>
        </w:rPr>
        <w:t>ACS111:</w:t>
      </w:r>
    </w:p>
    <w:p w14:paraId="54A4AC41" w14:textId="3F68221A" w:rsidR="00E96993" w:rsidRDefault="00743D85" w:rsidP="00743D85">
      <w:pPr>
        <w:pStyle w:val="ListParagraph"/>
        <w:numPr>
          <w:ilvl w:val="1"/>
          <w:numId w:val="3"/>
        </w:numPr>
        <w:spacing w:line="240" w:lineRule="auto"/>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g</m:t>
            </m:r>
          </m:sub>
        </m:sSub>
        <m:r>
          <w:rPr>
            <w:rFonts w:ascii="Cambria Math" w:hAnsi="Cambria Math"/>
          </w:rPr>
          <m:t>(440)</m:t>
        </m:r>
        <m:sSup>
          <m:sSupPr>
            <m:ctrlPr>
              <w:rPr>
                <w:rFonts w:ascii="Cambria Math" w:hAnsi="Cambria Math"/>
                <w:i/>
              </w:rPr>
            </m:ctrlPr>
          </m:sSupPr>
          <m:e>
            <m:r>
              <w:rPr>
                <w:rFonts w:ascii="Cambria Math" w:hAnsi="Cambria Math"/>
              </w:rPr>
              <m:t>=0.2</m:t>
            </m:r>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w</m:t>
                </m:r>
              </m:sub>
            </m:sSub>
            <m:d>
              <m:dPr>
                <m:ctrlPr>
                  <w:rPr>
                    <w:rFonts w:ascii="Cambria Math" w:hAnsi="Cambria Math"/>
                    <w:i/>
                  </w:rPr>
                </m:ctrlPr>
              </m:dPr>
              <m:e>
                <m:r>
                  <w:rPr>
                    <w:rFonts w:ascii="Cambria Math" w:hAnsi="Cambria Math"/>
                  </w:rPr>
                  <m:t>440</m:t>
                </m:r>
              </m:e>
            </m:d>
            <m:r>
              <w:rPr>
                <w:rFonts w:ascii="Cambria Math" w:hAnsi="Cambria Math"/>
              </w:rPr>
              <m:t>+0.06</m:t>
            </m:r>
            <m:sSub>
              <m:sSubPr>
                <m:ctrlPr>
                  <w:rPr>
                    <w:rFonts w:ascii="Cambria Math" w:hAnsi="Cambria Math"/>
                    <w:i/>
                  </w:rPr>
                </m:ctrlPr>
              </m:sSubPr>
              <m:e>
                <m:r>
                  <w:rPr>
                    <w:rFonts w:ascii="Cambria Math" w:hAnsi="Cambria Math"/>
                  </w:rPr>
                  <m:t>A</m:t>
                </m:r>
              </m:e>
              <m:sub>
                <m:r>
                  <w:rPr>
                    <w:rFonts w:ascii="Cambria Math" w:hAnsi="Cambria Math"/>
                  </w:rPr>
                  <m:t>chl</m:t>
                </m:r>
              </m:sub>
            </m:sSub>
            <m:r>
              <w:rPr>
                <w:rFonts w:ascii="Cambria Math" w:hAnsi="Cambria Math"/>
              </w:rPr>
              <m:t>(440)(Chl)</m:t>
            </m:r>
          </m:e>
          <m:sup>
            <m:r>
              <w:rPr>
                <w:rFonts w:ascii="Cambria Math" w:hAnsi="Cambria Math"/>
              </w:rPr>
              <m:t>0.65</m:t>
            </m:r>
          </m:sup>
        </m:sSup>
        <m:r>
          <w:rPr>
            <w:rFonts w:ascii="Cambria Math" w:hAnsi="Cambria Math"/>
          </w:rPr>
          <m:t>]</m:t>
        </m:r>
      </m:oMath>
      <w:r w:rsidR="005136BE">
        <w:rPr>
          <w:rFonts w:eastAsiaTheme="minorEastAsia"/>
        </w:rPr>
        <w:t xml:space="preserve"> (</w:t>
      </w:r>
      <w:r w:rsidR="005136BE">
        <w:rPr>
          <w:rFonts w:eastAsiaTheme="minorEastAsia"/>
        </w:rPr>
        <w:t xml:space="preserve">Morel and </w:t>
      </w:r>
      <w:proofErr w:type="spellStart"/>
      <w:r w:rsidR="005136BE">
        <w:rPr>
          <w:rFonts w:eastAsiaTheme="minorEastAsia"/>
        </w:rPr>
        <w:t>Maritorena</w:t>
      </w:r>
      <w:proofErr w:type="spellEnd"/>
      <w:r w:rsidR="005136BE">
        <w:rPr>
          <w:rFonts w:eastAsiaTheme="minorEastAsia"/>
        </w:rPr>
        <w:t>, 2001 (appendix B)</w:t>
      </w:r>
      <w:r w:rsidR="005136BE">
        <w:rPr>
          <w:rFonts w:eastAsiaTheme="minorEastAsia"/>
        </w:rPr>
        <w:t>)</w:t>
      </w:r>
    </w:p>
    <w:p w14:paraId="57EA265D" w14:textId="4AE38C84" w:rsidR="005136BE" w:rsidRPr="009E0333" w:rsidRDefault="005136BE" w:rsidP="00743D85">
      <w:pPr>
        <w:pStyle w:val="ListParagraph"/>
        <w:numPr>
          <w:ilvl w:val="1"/>
          <w:numId w:val="3"/>
        </w:numPr>
        <w:spacing w:line="240" w:lineRule="auto"/>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g</m:t>
            </m:r>
          </m:sub>
        </m:sSub>
        <m:r>
          <w:rPr>
            <w:rFonts w:ascii="Cambria Math" w:hAnsi="Cambria Math"/>
          </w:rPr>
          <m:t>(λ)</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g</m:t>
                </m:r>
              </m:sub>
            </m:sSub>
            <m:d>
              <m:dPr>
                <m:ctrlPr>
                  <w:rPr>
                    <w:rFonts w:ascii="Cambria Math" w:hAnsi="Cambria Math"/>
                    <w:i/>
                  </w:rPr>
                </m:ctrlPr>
              </m:dPr>
              <m:e>
                <m:r>
                  <w:rPr>
                    <w:rFonts w:ascii="Cambria Math" w:hAnsi="Cambria Math"/>
                  </w:rPr>
                  <m:t>440</m:t>
                </m:r>
              </m:e>
            </m:d>
            <m:r>
              <w:rPr>
                <w:rFonts w:ascii="Cambria Math" w:hAnsi="Cambria Math"/>
              </w:rPr>
              <m:t>e</m:t>
            </m:r>
          </m:e>
          <m:sup>
            <m:r>
              <w:rPr>
                <w:rFonts w:ascii="Cambria Math" w:hAnsi="Cambria Math"/>
              </w:rPr>
              <m:t>-0.014(</m:t>
            </m:r>
            <m:r>
              <w:rPr>
                <w:rFonts w:ascii="Cambria Math" w:hAnsi="Cambria Math"/>
              </w:rPr>
              <m:t>λ</m:t>
            </m:r>
            <m:r>
              <w:rPr>
                <w:rFonts w:ascii="Cambria Math" w:hAnsi="Cambria Math"/>
              </w:rPr>
              <m:t>-440)</m:t>
            </m:r>
          </m:sup>
        </m:sSup>
      </m:oMath>
      <w:r>
        <w:rPr>
          <w:rFonts w:eastAsiaTheme="minorEastAsia"/>
        </w:rPr>
        <w:t xml:space="preserve"> (</w:t>
      </w:r>
      <w:proofErr w:type="spellStart"/>
      <w:r>
        <w:rPr>
          <w:rFonts w:eastAsiaTheme="minorEastAsia"/>
        </w:rPr>
        <w:t>Bricaud</w:t>
      </w:r>
      <w:proofErr w:type="spellEnd"/>
      <w:r>
        <w:rPr>
          <w:rFonts w:eastAsiaTheme="minorEastAsia"/>
        </w:rPr>
        <w:t xml:space="preserve"> et al. (1981)</w:t>
      </w:r>
      <w:r>
        <w:rPr>
          <w:rFonts w:eastAsiaTheme="minorEastAsia"/>
        </w:rPr>
        <w:t>)</w:t>
      </w:r>
    </w:p>
    <w:p w14:paraId="4E04F359" w14:textId="671F8092" w:rsidR="00E16435" w:rsidRDefault="00A64DD0" w:rsidP="00A64DD0">
      <w:pPr>
        <w:spacing w:line="240" w:lineRule="auto"/>
        <w:jc w:val="both"/>
        <w:rPr>
          <w:rFonts w:cstheme="minorHAnsi"/>
          <w:color w:val="000000" w:themeColor="text1"/>
        </w:rPr>
      </w:pPr>
      <w:r>
        <w:rPr>
          <w:rFonts w:cstheme="minorHAnsi"/>
          <w:color w:val="000000" w:themeColor="text1"/>
        </w:rPr>
        <w:t>Once the particulate VSF (</w:t>
      </w:r>
      <m:oMath>
        <m:sSub>
          <m:sSubPr>
            <m:ctrlPr>
              <w:rPr>
                <w:rFonts w:ascii="Cambria Math" w:hAnsi="Cambria Math"/>
                <w:i/>
              </w:rPr>
            </m:ctrlPr>
          </m:sSubPr>
          <m:e>
            <m:r>
              <w:rPr>
                <w:rFonts w:ascii="Cambria Math" w:hAnsi="Cambria Math"/>
              </w:rPr>
              <m:t>β</m:t>
            </m:r>
          </m:e>
          <m:sub>
            <m:r>
              <w:rPr>
                <w:rFonts w:ascii="Cambria Math" w:hAnsi="Cambria Math"/>
              </w:rPr>
              <m:t>p</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r>
              <w:rPr>
                <w:rFonts w:ascii="Cambria Math" w:hAnsi="Cambria Math"/>
              </w:rPr>
              <m:t>,λ</m:t>
            </m:r>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measured,total</m:t>
                </m:r>
              </m:sub>
            </m:sSub>
            <m:d>
              <m:dPr>
                <m:ctrlPr>
                  <w:rPr>
                    <w:rFonts w:ascii="Cambria Math" w:hAnsi="Cambria Math"/>
                    <w:i/>
                  </w:rPr>
                </m:ctrlPr>
              </m:dPr>
              <m:e>
                <m:r>
                  <w:rPr>
                    <w:rFonts w:ascii="Cambria Math" w:hAnsi="Cambria Math"/>
                  </w:rPr>
                  <m:t>134,λ</m:t>
                </m:r>
              </m:e>
            </m:d>
          </m:e>
        </m:d>
      </m:oMath>
      <w:r>
        <w:rPr>
          <w:rFonts w:cstheme="minorHAnsi"/>
          <w:color w:val="000000" w:themeColor="text1"/>
        </w:rPr>
        <w:t xml:space="preserve">) obtained we computed the </w:t>
      </w:r>
      <w:r w:rsidR="005F68F4" w:rsidRPr="00D52BE1">
        <w:rPr>
          <w:rFonts w:cstheme="minorHAnsi"/>
          <w:color w:val="000000" w:themeColor="text1"/>
        </w:rPr>
        <w:t>particulate backscattering coefficient (</w:t>
      </w:r>
      <w:proofErr w:type="spellStart"/>
      <w:r w:rsidR="005F68F4" w:rsidRPr="00D52BE1">
        <w:rPr>
          <w:rFonts w:cstheme="minorHAnsi"/>
          <w:i/>
          <w:iCs/>
          <w:color w:val="000000" w:themeColor="text1"/>
        </w:rPr>
        <w:t>b</w:t>
      </w:r>
      <w:r w:rsidR="005F68F4" w:rsidRPr="00D52BE1">
        <w:rPr>
          <w:rFonts w:cstheme="minorHAnsi"/>
          <w:i/>
          <w:iCs/>
          <w:color w:val="000000" w:themeColor="text1"/>
          <w:vertAlign w:val="subscript"/>
        </w:rPr>
        <w:t>bp</w:t>
      </w:r>
      <w:proofErr w:type="spellEnd"/>
      <w:r w:rsidR="005F68F4" w:rsidRPr="00D52BE1">
        <w:rPr>
          <w:rFonts w:cstheme="minorHAnsi"/>
          <w:color w:val="000000" w:themeColor="text1"/>
        </w:rPr>
        <w:t>) (nominal angle 1</w:t>
      </w:r>
      <w:r>
        <w:rPr>
          <w:rFonts w:cstheme="minorHAnsi"/>
          <w:color w:val="000000" w:themeColor="text1"/>
        </w:rPr>
        <w:t>34</w:t>
      </w:r>
      <w:r w:rsidR="005F68F4" w:rsidRPr="00D52BE1">
        <w:rPr>
          <w:rFonts w:cstheme="minorHAnsi"/>
          <w:color w:val="000000" w:themeColor="text1"/>
        </w:rPr>
        <w:t>.</w:t>
      </w:r>
      <w:r w:rsidR="00E16435" w:rsidRPr="00D52BE1">
        <w:rPr>
          <w:rFonts w:cstheme="minorHAnsi"/>
          <w:color w:val="000000" w:themeColor="text1"/>
        </w:rPr>
        <w:t xml:space="preserve"> </w:t>
      </w:r>
    </w:p>
    <w:p w14:paraId="0AF746C7" w14:textId="516AAFB1" w:rsidR="002410FB" w:rsidRPr="00D52BE1" w:rsidRDefault="002410FB" w:rsidP="002410FB">
      <w:pPr>
        <w:spacing w:line="240" w:lineRule="auto"/>
        <w:jc w:val="center"/>
        <w:rPr>
          <w:rFonts w:cstheme="minorHAnsi"/>
          <w:color w:val="000000" w:themeColor="text1"/>
        </w:rPr>
      </w:pPr>
      <w:proofErr w:type="spellStart"/>
      <w:proofErr w:type="gramStart"/>
      <w:r w:rsidRPr="005C4D3C">
        <w:rPr>
          <w:rFonts w:cstheme="minorHAnsi"/>
          <w:i/>
          <w:iCs/>
          <w:color w:val="000000" w:themeColor="text1"/>
        </w:rPr>
        <w:t>b</w:t>
      </w:r>
      <w:r w:rsidRPr="00254FB1">
        <w:rPr>
          <w:rFonts w:cstheme="minorHAnsi"/>
          <w:i/>
          <w:iCs/>
          <w:color w:val="000000" w:themeColor="text1"/>
          <w:vertAlign w:val="subscript"/>
        </w:rPr>
        <w:t>b</w:t>
      </w:r>
      <w:r w:rsidRPr="005C4D3C">
        <w:rPr>
          <w:rFonts w:cstheme="minorHAnsi"/>
          <w:i/>
          <w:iCs/>
          <w:color w:val="000000" w:themeColor="text1"/>
          <w:vertAlign w:val="subscript"/>
        </w:rPr>
        <w:t>p</w:t>
      </w:r>
      <w:proofErr w:type="spellEnd"/>
      <w:r w:rsidRPr="005C4D3C">
        <w:rPr>
          <w:rFonts w:cstheme="minorHAnsi"/>
          <w:color w:val="000000" w:themeColor="text1"/>
        </w:rPr>
        <w:t>(</w:t>
      </w:r>
      <w:r w:rsidRPr="002410FB">
        <w:rPr>
          <w:rFonts w:ascii="Symbol" w:hAnsi="Symbol" w:cstheme="minorHAnsi"/>
          <w:color w:val="000000" w:themeColor="text1"/>
        </w:rPr>
        <w:t>l</w:t>
      </w:r>
      <w:r w:rsidRPr="005C4D3C">
        <w:rPr>
          <w:rFonts w:cstheme="minorHAnsi"/>
          <w:color w:val="000000" w:themeColor="text1"/>
        </w:rPr>
        <w:t>)</w:t>
      </w:r>
      <w:r>
        <w:rPr>
          <w:rFonts w:cstheme="minorHAnsi"/>
          <w:color w:val="000000" w:themeColor="text1"/>
        </w:rPr>
        <w:t>=</w:t>
      </w:r>
      <w:proofErr w:type="gramEnd"/>
      <w:r>
        <w:rPr>
          <w:rFonts w:cstheme="minorHAnsi"/>
          <w:color w:val="000000" w:themeColor="text1"/>
        </w:rPr>
        <w:t>2*</w:t>
      </w:r>
      <w:r w:rsidRPr="002410FB">
        <w:rPr>
          <w:rFonts w:ascii="Symbol" w:hAnsi="Symbol" w:cstheme="minorHAnsi"/>
          <w:color w:val="000000" w:themeColor="text1"/>
        </w:rPr>
        <w:t>p</w:t>
      </w:r>
      <w:r>
        <w:rPr>
          <w:rFonts w:cstheme="minorHAnsi"/>
          <w:color w:val="000000" w:themeColor="text1"/>
        </w:rPr>
        <w:t>*</w:t>
      </w:r>
      <w:r>
        <w:rPr>
          <w:rFonts w:ascii="Symbol" w:hAnsi="Symbol" w:cstheme="minorHAnsi"/>
          <w:color w:val="000000" w:themeColor="text1"/>
        </w:rPr>
        <w:t>c(120</w:t>
      </w:r>
      <w:r>
        <w:rPr>
          <w:rFonts w:ascii="Symbol" w:hAnsi="Symbol" w:cstheme="minorHAnsi"/>
          <w:color w:val="000000" w:themeColor="text1"/>
        </w:rPr>
        <w:sym w:font="Symbol" w:char="F0B0"/>
      </w:r>
      <w:r>
        <w:rPr>
          <w:rFonts w:ascii="Symbol" w:hAnsi="Symbol" w:cstheme="minorHAnsi"/>
          <w:color w:val="000000" w:themeColor="text1"/>
        </w:rPr>
        <w:t>)</w:t>
      </w:r>
      <w:r>
        <w:rPr>
          <w:rFonts w:cstheme="minorHAnsi"/>
          <w:color w:val="000000" w:themeColor="text1"/>
        </w:rPr>
        <w:t>*</w:t>
      </w:r>
      <w:r>
        <w:rPr>
          <w:rFonts w:ascii="Symbol" w:hAnsi="Symbol" w:cstheme="minorHAnsi"/>
          <w:color w:val="000000" w:themeColor="text1"/>
        </w:rPr>
        <w:t>b</w:t>
      </w:r>
      <w:r w:rsidRPr="002410FB">
        <w:rPr>
          <w:rFonts w:cstheme="minorHAnsi"/>
          <w:i/>
          <w:iCs/>
          <w:color w:val="000000" w:themeColor="text1"/>
          <w:vertAlign w:val="subscript"/>
        </w:rPr>
        <w:t xml:space="preserve"> </w:t>
      </w:r>
      <w:proofErr w:type="gramStart"/>
      <w:r w:rsidRPr="005C4D3C">
        <w:rPr>
          <w:rFonts w:cstheme="minorHAnsi"/>
          <w:i/>
          <w:iCs/>
          <w:color w:val="000000" w:themeColor="text1"/>
          <w:vertAlign w:val="subscript"/>
        </w:rPr>
        <w:t>p</w:t>
      </w:r>
      <w:r w:rsidRPr="005C4D3C">
        <w:rPr>
          <w:rFonts w:cstheme="minorHAnsi"/>
          <w:color w:val="000000" w:themeColor="text1"/>
        </w:rPr>
        <w:t>(</w:t>
      </w:r>
      <w:proofErr w:type="gramEnd"/>
      <w:r>
        <w:rPr>
          <w:rFonts w:cstheme="minorHAnsi"/>
          <w:color w:val="000000" w:themeColor="text1"/>
        </w:rPr>
        <w:t>1</w:t>
      </w:r>
      <w:r w:rsidR="00A64DD0">
        <w:rPr>
          <w:rFonts w:cstheme="minorHAnsi"/>
          <w:color w:val="000000" w:themeColor="text1"/>
        </w:rPr>
        <w:t>34</w:t>
      </w:r>
      <w:r>
        <w:rPr>
          <w:rFonts w:ascii="Symbol" w:hAnsi="Symbol" w:cstheme="minorHAnsi"/>
          <w:color w:val="000000" w:themeColor="text1"/>
        </w:rPr>
        <w:sym w:font="Symbol" w:char="F0B0"/>
      </w:r>
      <w:r>
        <w:rPr>
          <w:rFonts w:cstheme="minorHAnsi"/>
          <w:color w:val="000000" w:themeColor="text1"/>
        </w:rPr>
        <w:t>,</w:t>
      </w:r>
      <w:r w:rsidRPr="002410FB">
        <w:rPr>
          <w:rFonts w:ascii="Symbol" w:hAnsi="Symbol" w:cstheme="minorHAnsi"/>
          <w:color w:val="000000" w:themeColor="text1"/>
        </w:rPr>
        <w:t>l</w:t>
      </w:r>
      <w:r w:rsidRPr="005C4D3C">
        <w:rPr>
          <w:rFonts w:cstheme="minorHAnsi"/>
          <w:color w:val="000000" w:themeColor="text1"/>
        </w:rPr>
        <w:t>)</w:t>
      </w:r>
      <w:r>
        <w:rPr>
          <w:rFonts w:cstheme="minorHAnsi"/>
          <w:color w:val="000000" w:themeColor="text1"/>
        </w:rPr>
        <w:t>.</w:t>
      </w:r>
    </w:p>
    <w:p w14:paraId="6263C237" w14:textId="4B427021" w:rsidR="00C95254" w:rsidRPr="00A64DD0" w:rsidRDefault="002410FB" w:rsidP="00A64DD0">
      <w:pPr>
        <w:spacing w:line="240" w:lineRule="auto"/>
        <w:jc w:val="both"/>
        <w:rPr>
          <w:rFonts w:ascii="Times New Roman" w:hAnsi="Times New Roman" w:cs="Times New Roman"/>
          <w:color w:val="000000" w:themeColor="text1"/>
        </w:rPr>
      </w:pPr>
      <w:r>
        <w:rPr>
          <w:rFonts w:ascii="Symbol" w:hAnsi="Symbol" w:cstheme="minorHAnsi"/>
          <w:color w:val="000000" w:themeColor="text1"/>
        </w:rPr>
        <w:t>c(1</w:t>
      </w:r>
      <w:r w:rsidR="00A64DD0">
        <w:rPr>
          <w:rFonts w:ascii="Symbol" w:hAnsi="Symbol" w:cstheme="minorHAnsi"/>
          <w:color w:val="000000" w:themeColor="text1"/>
        </w:rPr>
        <w:t>34</w:t>
      </w:r>
      <w:r>
        <w:rPr>
          <w:rFonts w:ascii="Symbol" w:hAnsi="Symbol" w:cstheme="minorHAnsi"/>
          <w:color w:val="000000" w:themeColor="text1"/>
        </w:rPr>
        <w:sym w:font="Symbol" w:char="F0B0"/>
      </w:r>
      <w:r>
        <w:rPr>
          <w:rFonts w:ascii="Symbol" w:hAnsi="Symbol" w:cstheme="minorHAnsi"/>
          <w:color w:val="000000" w:themeColor="text1"/>
        </w:rPr>
        <w:t xml:space="preserve">) </w:t>
      </w:r>
      <w:r w:rsidR="00300C06">
        <w:rPr>
          <w:rFonts w:ascii="Symbol" w:hAnsi="Symbol" w:cstheme="minorHAnsi"/>
          <w:color w:val="000000" w:themeColor="text1"/>
        </w:rPr>
        <w:t xml:space="preserve">= 1. </w:t>
      </w:r>
      <w:r w:rsidR="00983CF5">
        <w:rPr>
          <w:rFonts w:ascii="Symbol" w:hAnsi="Symbol" w:cstheme="minorHAnsi"/>
          <w:color w:val="000000" w:themeColor="text1"/>
        </w:rPr>
        <w:t>1</w:t>
      </w:r>
      <w:r w:rsidR="00A64DD0">
        <w:rPr>
          <w:rFonts w:ascii="Symbol" w:hAnsi="Symbol" w:cstheme="minorHAnsi"/>
          <w:color w:val="000000" w:themeColor="text1"/>
        </w:rPr>
        <w:t>77</w:t>
      </w:r>
      <w:r w:rsidR="00983CF5">
        <w:rPr>
          <w:rFonts w:ascii="Symbol" w:hAnsi="Symbol" w:cstheme="minorHAnsi"/>
          <w:color w:val="000000" w:themeColor="text1"/>
        </w:rPr>
        <w:t xml:space="preserve"> </w:t>
      </w:r>
      <w:r w:rsidRPr="00D52BE1">
        <w:rPr>
          <w:rFonts w:cstheme="minorHAnsi"/>
          <w:color w:val="000000" w:themeColor="text1"/>
        </w:rPr>
        <w:t>is</w:t>
      </w:r>
      <w:r>
        <w:rPr>
          <w:rFonts w:cstheme="minorHAnsi"/>
          <w:color w:val="000000" w:themeColor="text1"/>
        </w:rPr>
        <w:t xml:space="preserve"> </w:t>
      </w:r>
      <w:r w:rsidR="00983CF5">
        <w:rPr>
          <w:rFonts w:cstheme="minorHAnsi"/>
          <w:color w:val="000000" w:themeColor="text1"/>
        </w:rPr>
        <w:t xml:space="preserve">the weighted mean of </w:t>
      </w:r>
      <w:r>
        <w:rPr>
          <w:rFonts w:cstheme="minorHAnsi"/>
          <w:color w:val="000000" w:themeColor="text1"/>
        </w:rPr>
        <w:t xml:space="preserve">the data in </w:t>
      </w:r>
      <w:r w:rsidR="00983CF5">
        <w:rPr>
          <w:rFonts w:cstheme="minorHAnsi"/>
          <w:color w:val="000000" w:themeColor="text1"/>
        </w:rPr>
        <w:t xml:space="preserve">table 6.1 in </w:t>
      </w:r>
      <w:r>
        <w:rPr>
          <w:rFonts w:cstheme="minorHAnsi"/>
          <w:color w:val="000000" w:themeColor="text1"/>
        </w:rPr>
        <w:t>Sullivan et al., 2013</w:t>
      </w:r>
      <w:r w:rsidR="00A64DD0">
        <w:rPr>
          <w:rFonts w:cstheme="minorHAnsi"/>
          <w:color w:val="000000" w:themeColor="text1"/>
        </w:rPr>
        <w:t xml:space="preserve"> (and consistent with Boss and Pegau, 2001 and Zhang et al., 2021)</w:t>
      </w:r>
      <w:r>
        <w:rPr>
          <w:rFonts w:cstheme="minorHAnsi"/>
          <w:color w:val="000000" w:themeColor="text1"/>
        </w:rPr>
        <w:t>.</w:t>
      </w:r>
    </w:p>
    <w:p w14:paraId="0C9D4E0A" w14:textId="08273CFF" w:rsidR="009E4C56" w:rsidRPr="00254FB1" w:rsidRDefault="00254FB1" w:rsidP="00254FB1">
      <w:pPr>
        <w:spacing w:line="240" w:lineRule="auto"/>
        <w:jc w:val="center"/>
      </w:pPr>
      <w:r>
        <w:rPr>
          <w:noProof/>
        </w:rPr>
        <w:lastRenderedPageBreak/>
        <w:drawing>
          <wp:inline distT="0" distB="0" distL="0" distR="0" wp14:anchorId="63EA21EF" wp14:editId="724524F1">
            <wp:extent cx="5141673" cy="3890211"/>
            <wp:effectExtent l="0" t="0" r="1905" b="0"/>
            <wp:docPr id="1071774996"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74996" name="Picture 1" descr="A graph of a graph&#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462910" cy="4133261"/>
                    </a:xfrm>
                    <a:prstGeom prst="rect">
                      <a:avLst/>
                    </a:prstGeom>
                  </pic:spPr>
                </pic:pic>
              </a:graphicData>
            </a:graphic>
          </wp:inline>
        </w:drawing>
      </w:r>
    </w:p>
    <w:p w14:paraId="05DEAAA4" w14:textId="0069EC43" w:rsidR="007923D9" w:rsidRDefault="007923D9" w:rsidP="00A64DD0">
      <w:pPr>
        <w:jc w:val="center"/>
        <w:rPr>
          <w:noProof/>
        </w:rPr>
      </w:pPr>
      <w:r w:rsidRPr="005D4A7B">
        <w:rPr>
          <w:b/>
          <w:bCs/>
        </w:rPr>
        <w:t xml:space="preserve">Figure </w:t>
      </w:r>
      <w:r w:rsidR="00A64DD0">
        <w:rPr>
          <w:b/>
          <w:bCs/>
        </w:rPr>
        <w:t>1</w:t>
      </w:r>
      <w:r w:rsidR="008C4211" w:rsidRPr="005D4A7B">
        <w:rPr>
          <w:b/>
          <w:bCs/>
        </w:rPr>
        <w:t>:</w:t>
      </w:r>
      <w:r w:rsidR="008C4211" w:rsidRPr="008C4211">
        <w:t xml:space="preserve"> </w:t>
      </w:r>
      <w:proofErr w:type="spellStart"/>
      <w:r w:rsidR="008C4211" w:rsidRPr="005D4A7B">
        <w:rPr>
          <w:i/>
          <w:iCs/>
        </w:rPr>
        <w:t>b</w:t>
      </w:r>
      <w:r w:rsidR="008C4211" w:rsidRPr="00254FB1">
        <w:rPr>
          <w:i/>
          <w:iCs/>
          <w:vertAlign w:val="subscript"/>
        </w:rPr>
        <w:t>b</w:t>
      </w:r>
      <w:r w:rsidR="008C4211" w:rsidRPr="005D4A7B">
        <w:rPr>
          <w:i/>
          <w:iCs/>
          <w:vertAlign w:val="subscript"/>
        </w:rPr>
        <w:t>p</w:t>
      </w:r>
      <w:proofErr w:type="spellEnd"/>
      <w:r w:rsidR="008C4211" w:rsidRPr="008C4211">
        <w:t xml:space="preserve"> (from </w:t>
      </w:r>
      <w:r w:rsidR="00A64DD0">
        <w:t>Hbb8005</w:t>
      </w:r>
      <w:r w:rsidR="008C4211" w:rsidRPr="008C4211">
        <w:t xml:space="preserve">) </w:t>
      </w:r>
      <w:r w:rsidR="00A64DD0">
        <w:t>in</w:t>
      </w:r>
      <w:r w:rsidR="00254FB1">
        <w:t xml:space="preserve"> TN444</w:t>
      </w:r>
      <w:r w:rsidR="00A64DD0">
        <w:t>.</w:t>
      </w:r>
    </w:p>
    <w:p w14:paraId="26F68DA2" w14:textId="16E414A2" w:rsidR="00A64DD0" w:rsidRPr="008C4211" w:rsidRDefault="00743D85" w:rsidP="00A64DD0">
      <w:pPr>
        <w:jc w:val="center"/>
      </w:pPr>
      <w:r>
        <w:rPr>
          <w:noProof/>
        </w:rPr>
        <w:lastRenderedPageBreak/>
        <w:drawing>
          <wp:inline distT="0" distB="0" distL="0" distR="0" wp14:anchorId="1687A5FA" wp14:editId="46F84D03">
            <wp:extent cx="4508500" cy="4724400"/>
            <wp:effectExtent l="0" t="0" r="0" b="0"/>
            <wp:docPr id="1873492341" name="Picture 2"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92341" name="Picture 2" descr="A screen shot of a graph&#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508500" cy="4724400"/>
                    </a:xfrm>
                    <a:prstGeom prst="rect">
                      <a:avLst/>
                    </a:prstGeom>
                  </pic:spPr>
                </pic:pic>
              </a:graphicData>
            </a:graphic>
          </wp:inline>
        </w:drawing>
      </w:r>
    </w:p>
    <w:p w14:paraId="5145BAA6" w14:textId="7E569281" w:rsidR="008C4211" w:rsidRDefault="005D4A7B" w:rsidP="00A64DD0">
      <w:pPr>
        <w:jc w:val="center"/>
        <w:rPr>
          <w:b/>
        </w:rPr>
      </w:pPr>
      <w:r>
        <w:rPr>
          <w:b/>
        </w:rPr>
        <w:t xml:space="preserve">Figure </w:t>
      </w:r>
      <w:r w:rsidR="00A64DD0">
        <w:rPr>
          <w:b/>
        </w:rPr>
        <w:t>2</w:t>
      </w:r>
      <w:r>
        <w:rPr>
          <w:b/>
        </w:rPr>
        <w:t xml:space="preserve">: </w:t>
      </w:r>
      <w:r w:rsidRPr="005D4A7B">
        <w:rPr>
          <w:bCs/>
        </w:rPr>
        <w:t>map</w:t>
      </w:r>
      <w:r w:rsidR="00A64DD0">
        <w:rPr>
          <w:bCs/>
        </w:rPr>
        <w:t>s</w:t>
      </w:r>
      <w:r>
        <w:rPr>
          <w:bCs/>
        </w:rPr>
        <w:t xml:space="preserve"> of</w:t>
      </w:r>
      <w:r>
        <w:rPr>
          <w:b/>
        </w:rPr>
        <w:t xml:space="preserve"> </w:t>
      </w:r>
      <w:proofErr w:type="spellStart"/>
      <w:r w:rsidRPr="005D4A7B">
        <w:rPr>
          <w:i/>
          <w:iCs/>
        </w:rPr>
        <w:t>b</w:t>
      </w:r>
      <w:r w:rsidRPr="00743D85">
        <w:rPr>
          <w:i/>
          <w:iCs/>
          <w:vertAlign w:val="subscript"/>
        </w:rPr>
        <w:t>b</w:t>
      </w:r>
      <w:r w:rsidRPr="005D4A7B">
        <w:rPr>
          <w:i/>
          <w:iCs/>
          <w:vertAlign w:val="subscript"/>
        </w:rPr>
        <w:t>p</w:t>
      </w:r>
      <w:proofErr w:type="spellEnd"/>
      <w:r w:rsidRPr="008C4211">
        <w:t xml:space="preserve"> </w:t>
      </w:r>
      <w:r>
        <w:t xml:space="preserve">at </w:t>
      </w:r>
      <w:proofErr w:type="spellStart"/>
      <w:r w:rsidR="00A64DD0">
        <w:t>at</w:t>
      </w:r>
      <w:proofErr w:type="spellEnd"/>
      <w:r w:rsidR="00A64DD0">
        <w:t xml:space="preserve"> 5</w:t>
      </w:r>
      <w:r w:rsidR="009E0333">
        <w:t>3</w:t>
      </w:r>
      <w:r w:rsidR="00A64DD0">
        <w:t>0nm from HyperBB</w:t>
      </w:r>
      <w:r w:rsidR="00743D85">
        <w:t>8005</w:t>
      </w:r>
    </w:p>
    <w:p w14:paraId="5C10035F" w14:textId="6C2D8FEC" w:rsidR="005F68F4" w:rsidRDefault="005F68F4" w:rsidP="005F68F4">
      <w:pPr>
        <w:jc w:val="both"/>
        <w:rPr>
          <w:b/>
        </w:rPr>
      </w:pPr>
      <w:r w:rsidRPr="00DA5F37">
        <w:rPr>
          <w:b/>
        </w:rPr>
        <w:t>Instrument calibration</w:t>
      </w:r>
    </w:p>
    <w:p w14:paraId="7D82ACF5" w14:textId="5A05C47F" w:rsidR="0006539B" w:rsidRDefault="0006539B" w:rsidP="00A64DD0">
      <w:pPr>
        <w:spacing w:line="240" w:lineRule="auto"/>
        <w:jc w:val="both"/>
        <w:rPr>
          <w:color w:val="000000" w:themeColor="text1"/>
        </w:rPr>
      </w:pPr>
      <w:r>
        <w:rPr>
          <w:color w:val="000000" w:themeColor="text1"/>
        </w:rPr>
        <w:t xml:space="preserve">We performed a pre-cruise plaque calibration following </w:t>
      </w:r>
      <w:r w:rsidR="00A64DD0">
        <w:rPr>
          <w:color w:val="000000" w:themeColor="text1"/>
        </w:rPr>
        <w:t>on manufacturer procedure</w:t>
      </w:r>
      <w:r>
        <w:rPr>
          <w:color w:val="000000" w:themeColor="text1"/>
        </w:rPr>
        <w:t xml:space="preserve"> and applied </w:t>
      </w:r>
      <w:r w:rsidR="00337FA3">
        <w:rPr>
          <w:color w:val="000000" w:themeColor="text1"/>
        </w:rPr>
        <w:t xml:space="preserve">its </w:t>
      </w:r>
      <w:r w:rsidR="00A64DD0">
        <w:rPr>
          <w:color w:val="000000" w:themeColor="text1"/>
        </w:rPr>
        <w:t xml:space="preserve">coefficients </w:t>
      </w:r>
      <w:r w:rsidR="00337FA3">
        <w:rPr>
          <w:color w:val="000000" w:themeColor="text1"/>
        </w:rPr>
        <w:t xml:space="preserve">to the entire dataset </w:t>
      </w:r>
      <w:r w:rsidR="00A64DD0">
        <w:rPr>
          <w:color w:val="000000" w:themeColor="text1"/>
        </w:rPr>
        <w:t>(values in Table 1)</w:t>
      </w:r>
      <w:r w:rsidR="00337FA3">
        <w:rPr>
          <w:color w:val="000000" w:themeColor="text1"/>
        </w:rPr>
        <w:t>.</w:t>
      </w:r>
    </w:p>
    <w:tbl>
      <w:tblPr>
        <w:tblW w:w="12895" w:type="dxa"/>
        <w:tblLook w:val="04A0" w:firstRow="1" w:lastRow="0" w:firstColumn="1" w:lastColumn="0" w:noHBand="0" w:noVBand="1"/>
      </w:tblPr>
      <w:tblGrid>
        <w:gridCol w:w="1838"/>
        <w:gridCol w:w="922"/>
        <w:gridCol w:w="1040"/>
        <w:gridCol w:w="1120"/>
        <w:gridCol w:w="1171"/>
        <w:gridCol w:w="1134"/>
        <w:gridCol w:w="1134"/>
        <w:gridCol w:w="1134"/>
        <w:gridCol w:w="1134"/>
        <w:gridCol w:w="1134"/>
        <w:gridCol w:w="1134"/>
      </w:tblGrid>
      <w:tr w:rsidR="00A64DD0" w:rsidRPr="00A64DD0" w14:paraId="27F98787" w14:textId="77777777" w:rsidTr="00A64DD0">
        <w:trPr>
          <w:trHeight w:val="320"/>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21F41B5A" w14:textId="77777777" w:rsidR="00A64DD0" w:rsidRPr="00A64DD0" w:rsidRDefault="00A64DD0" w:rsidP="00553B5E">
            <w:pPr>
              <w:spacing w:after="0" w:line="240" w:lineRule="auto"/>
              <w:rPr>
                <w:rFonts w:ascii="Calibri" w:eastAsia="Times New Roman" w:hAnsi="Calibri" w:cs="Calibri"/>
                <w:color w:val="000000"/>
                <w:sz w:val="24"/>
                <w:szCs w:val="24"/>
                <w:lang w:bidi="he-IL"/>
              </w:rPr>
            </w:pPr>
            <w:proofErr w:type="spellStart"/>
            <w:r w:rsidRPr="00A64DD0">
              <w:rPr>
                <w:rFonts w:ascii="Calibri" w:eastAsia="Times New Roman" w:hAnsi="Calibri" w:cs="Calibri"/>
                <w:color w:val="000000"/>
                <w:sz w:val="24"/>
                <w:szCs w:val="24"/>
                <w:lang w:bidi="he-IL"/>
              </w:rPr>
              <w:lastRenderedPageBreak/>
              <w:t>wavlength</w:t>
            </w:r>
            <w:proofErr w:type="spellEnd"/>
            <w:r w:rsidRPr="00A64DD0">
              <w:rPr>
                <w:rFonts w:ascii="Calibri" w:eastAsia="Times New Roman" w:hAnsi="Calibri" w:cs="Calibri"/>
                <w:color w:val="000000"/>
                <w:sz w:val="24"/>
                <w:szCs w:val="24"/>
                <w:lang w:bidi="he-IL"/>
              </w:rPr>
              <w:t xml:space="preserve"> [nm]</w:t>
            </w:r>
          </w:p>
        </w:tc>
        <w:tc>
          <w:tcPr>
            <w:tcW w:w="922" w:type="dxa"/>
            <w:tcBorders>
              <w:top w:val="single" w:sz="4" w:space="0" w:color="auto"/>
              <w:left w:val="nil"/>
              <w:bottom w:val="single" w:sz="4" w:space="0" w:color="auto"/>
              <w:right w:val="single" w:sz="4" w:space="0" w:color="auto"/>
            </w:tcBorders>
            <w:noWrap/>
            <w:vAlign w:val="bottom"/>
            <w:hideMark/>
          </w:tcPr>
          <w:p w14:paraId="2CCA0EAF" w14:textId="77777777" w:rsidR="00A64DD0" w:rsidRPr="00A64DD0" w:rsidRDefault="00A64DD0" w:rsidP="00553B5E">
            <w:pPr>
              <w:spacing w:after="0" w:line="240" w:lineRule="auto"/>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 </w:t>
            </w:r>
          </w:p>
        </w:tc>
        <w:tc>
          <w:tcPr>
            <w:tcW w:w="1040" w:type="dxa"/>
            <w:tcBorders>
              <w:top w:val="single" w:sz="4" w:space="0" w:color="auto"/>
              <w:left w:val="nil"/>
              <w:bottom w:val="single" w:sz="4" w:space="0" w:color="auto"/>
              <w:right w:val="single" w:sz="4" w:space="0" w:color="auto"/>
            </w:tcBorders>
            <w:noWrap/>
            <w:vAlign w:val="bottom"/>
            <w:hideMark/>
          </w:tcPr>
          <w:p w14:paraId="5EA211E2" w14:textId="77777777" w:rsidR="00A64DD0" w:rsidRPr="00A64DD0" w:rsidRDefault="00A64DD0" w:rsidP="00553B5E">
            <w:pPr>
              <w:spacing w:after="0" w:line="240" w:lineRule="auto"/>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 </w:t>
            </w:r>
          </w:p>
        </w:tc>
        <w:tc>
          <w:tcPr>
            <w:tcW w:w="1120" w:type="dxa"/>
            <w:tcBorders>
              <w:top w:val="single" w:sz="4" w:space="0" w:color="auto"/>
              <w:left w:val="nil"/>
              <w:bottom w:val="single" w:sz="4" w:space="0" w:color="auto"/>
              <w:right w:val="single" w:sz="4" w:space="0" w:color="auto"/>
            </w:tcBorders>
            <w:noWrap/>
            <w:vAlign w:val="bottom"/>
            <w:hideMark/>
          </w:tcPr>
          <w:p w14:paraId="0A9501CB"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430</w:t>
            </w:r>
          </w:p>
        </w:tc>
        <w:tc>
          <w:tcPr>
            <w:tcW w:w="1171" w:type="dxa"/>
            <w:tcBorders>
              <w:top w:val="single" w:sz="4" w:space="0" w:color="auto"/>
              <w:left w:val="nil"/>
              <w:bottom w:val="single" w:sz="4" w:space="0" w:color="auto"/>
              <w:right w:val="single" w:sz="4" w:space="0" w:color="auto"/>
            </w:tcBorders>
            <w:noWrap/>
            <w:vAlign w:val="bottom"/>
            <w:hideMark/>
          </w:tcPr>
          <w:p w14:paraId="1172716F"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440</w:t>
            </w:r>
          </w:p>
        </w:tc>
        <w:tc>
          <w:tcPr>
            <w:tcW w:w="1134" w:type="dxa"/>
            <w:tcBorders>
              <w:top w:val="single" w:sz="4" w:space="0" w:color="auto"/>
              <w:left w:val="nil"/>
              <w:bottom w:val="single" w:sz="4" w:space="0" w:color="auto"/>
              <w:right w:val="single" w:sz="4" w:space="0" w:color="auto"/>
            </w:tcBorders>
            <w:noWrap/>
            <w:vAlign w:val="bottom"/>
            <w:hideMark/>
          </w:tcPr>
          <w:p w14:paraId="6E767B00"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450</w:t>
            </w:r>
          </w:p>
        </w:tc>
        <w:tc>
          <w:tcPr>
            <w:tcW w:w="1134" w:type="dxa"/>
            <w:tcBorders>
              <w:top w:val="single" w:sz="4" w:space="0" w:color="auto"/>
              <w:left w:val="nil"/>
              <w:bottom w:val="single" w:sz="4" w:space="0" w:color="auto"/>
              <w:right w:val="single" w:sz="4" w:space="0" w:color="auto"/>
            </w:tcBorders>
            <w:noWrap/>
            <w:vAlign w:val="bottom"/>
            <w:hideMark/>
          </w:tcPr>
          <w:p w14:paraId="52599A5F"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460</w:t>
            </w:r>
          </w:p>
        </w:tc>
        <w:tc>
          <w:tcPr>
            <w:tcW w:w="1134" w:type="dxa"/>
            <w:tcBorders>
              <w:top w:val="single" w:sz="4" w:space="0" w:color="auto"/>
              <w:left w:val="nil"/>
              <w:bottom w:val="single" w:sz="4" w:space="0" w:color="auto"/>
              <w:right w:val="single" w:sz="4" w:space="0" w:color="auto"/>
            </w:tcBorders>
            <w:noWrap/>
            <w:vAlign w:val="bottom"/>
            <w:hideMark/>
          </w:tcPr>
          <w:p w14:paraId="52841397"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470</w:t>
            </w:r>
          </w:p>
        </w:tc>
        <w:tc>
          <w:tcPr>
            <w:tcW w:w="1134" w:type="dxa"/>
            <w:tcBorders>
              <w:top w:val="single" w:sz="4" w:space="0" w:color="auto"/>
              <w:left w:val="nil"/>
              <w:bottom w:val="single" w:sz="4" w:space="0" w:color="auto"/>
              <w:right w:val="single" w:sz="4" w:space="0" w:color="auto"/>
            </w:tcBorders>
            <w:noWrap/>
            <w:vAlign w:val="bottom"/>
            <w:hideMark/>
          </w:tcPr>
          <w:p w14:paraId="2FF062F8"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480</w:t>
            </w:r>
          </w:p>
        </w:tc>
        <w:tc>
          <w:tcPr>
            <w:tcW w:w="1134" w:type="dxa"/>
            <w:tcBorders>
              <w:top w:val="single" w:sz="4" w:space="0" w:color="auto"/>
              <w:left w:val="nil"/>
              <w:bottom w:val="single" w:sz="4" w:space="0" w:color="auto"/>
              <w:right w:val="single" w:sz="4" w:space="0" w:color="auto"/>
            </w:tcBorders>
            <w:noWrap/>
            <w:vAlign w:val="bottom"/>
            <w:hideMark/>
          </w:tcPr>
          <w:p w14:paraId="34119923"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490</w:t>
            </w:r>
          </w:p>
        </w:tc>
        <w:tc>
          <w:tcPr>
            <w:tcW w:w="1134" w:type="dxa"/>
            <w:tcBorders>
              <w:top w:val="single" w:sz="4" w:space="0" w:color="auto"/>
              <w:left w:val="nil"/>
              <w:bottom w:val="single" w:sz="4" w:space="0" w:color="auto"/>
              <w:right w:val="single" w:sz="4" w:space="0" w:color="auto"/>
            </w:tcBorders>
            <w:noWrap/>
            <w:vAlign w:val="bottom"/>
            <w:hideMark/>
          </w:tcPr>
          <w:p w14:paraId="222CB3C6"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500</w:t>
            </w:r>
          </w:p>
        </w:tc>
      </w:tr>
      <w:tr w:rsidR="00A64DD0" w:rsidRPr="00A64DD0" w14:paraId="562B203C" w14:textId="77777777" w:rsidTr="00A64DD0">
        <w:trPr>
          <w:trHeight w:val="320"/>
        </w:trPr>
        <w:tc>
          <w:tcPr>
            <w:tcW w:w="1838" w:type="dxa"/>
            <w:tcBorders>
              <w:top w:val="nil"/>
              <w:left w:val="single" w:sz="4" w:space="0" w:color="auto"/>
              <w:bottom w:val="single" w:sz="4" w:space="0" w:color="auto"/>
              <w:right w:val="single" w:sz="4" w:space="0" w:color="auto"/>
            </w:tcBorders>
            <w:noWrap/>
            <w:vAlign w:val="bottom"/>
            <w:hideMark/>
          </w:tcPr>
          <w:p w14:paraId="2AD0FC4B" w14:textId="0DD21AC7" w:rsidR="00A64DD0" w:rsidRPr="00A64DD0" w:rsidRDefault="00A64DD0" w:rsidP="00553B5E">
            <w:pPr>
              <w:spacing w:after="0" w:line="240" w:lineRule="auto"/>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slope (mu)</w:t>
            </w:r>
            <w:r>
              <w:rPr>
                <w:rFonts w:ascii="Calibri" w:eastAsia="Times New Roman" w:hAnsi="Calibri" w:cs="Calibri"/>
                <w:color w:val="000000"/>
                <w:sz w:val="24"/>
                <w:szCs w:val="24"/>
                <w:lang w:bidi="he-IL"/>
              </w:rPr>
              <w:t xml:space="preserve"> [Sr</w:t>
            </w:r>
            <w:r w:rsidRPr="00A64DD0">
              <w:rPr>
                <w:rFonts w:ascii="Calibri" w:eastAsia="Times New Roman" w:hAnsi="Calibri" w:cs="Calibri"/>
                <w:color w:val="000000"/>
                <w:sz w:val="24"/>
                <w:szCs w:val="24"/>
                <w:vertAlign w:val="superscript"/>
                <w:lang w:bidi="he-IL"/>
              </w:rPr>
              <w:t>-1</w:t>
            </w:r>
            <w:r>
              <w:rPr>
                <w:rFonts w:ascii="Calibri" w:eastAsia="Times New Roman" w:hAnsi="Calibri" w:cs="Calibri"/>
                <w:color w:val="000000"/>
                <w:sz w:val="24"/>
                <w:szCs w:val="24"/>
                <w:lang w:bidi="he-IL"/>
              </w:rPr>
              <w:t xml:space="preserve"> m</w:t>
            </w:r>
            <w:r w:rsidRPr="00A64DD0">
              <w:rPr>
                <w:rFonts w:ascii="Calibri" w:eastAsia="Times New Roman" w:hAnsi="Calibri" w:cs="Calibri"/>
                <w:color w:val="000000"/>
                <w:sz w:val="24"/>
                <w:szCs w:val="24"/>
                <w:vertAlign w:val="superscript"/>
                <w:lang w:bidi="he-IL"/>
              </w:rPr>
              <w:t>-1</w:t>
            </w:r>
            <w:r>
              <w:rPr>
                <w:rFonts w:ascii="Calibri" w:eastAsia="Times New Roman" w:hAnsi="Calibri" w:cs="Calibri"/>
                <w:color w:val="000000"/>
                <w:sz w:val="24"/>
                <w:szCs w:val="24"/>
                <w:lang w:bidi="he-IL"/>
              </w:rPr>
              <w:t xml:space="preserve"> count</w:t>
            </w:r>
            <w:r w:rsidRPr="00A64DD0">
              <w:rPr>
                <w:rFonts w:ascii="Calibri" w:eastAsia="Times New Roman" w:hAnsi="Calibri" w:cs="Calibri"/>
                <w:color w:val="000000"/>
                <w:sz w:val="24"/>
                <w:szCs w:val="24"/>
                <w:vertAlign w:val="superscript"/>
                <w:lang w:bidi="he-IL"/>
              </w:rPr>
              <w:t>-1</w:t>
            </w:r>
            <w:r>
              <w:rPr>
                <w:rFonts w:ascii="Calibri" w:eastAsia="Times New Roman" w:hAnsi="Calibri" w:cs="Calibri"/>
                <w:color w:val="000000"/>
                <w:sz w:val="24"/>
                <w:szCs w:val="24"/>
                <w:lang w:bidi="he-IL"/>
              </w:rPr>
              <w:t>]</w:t>
            </w:r>
          </w:p>
        </w:tc>
        <w:tc>
          <w:tcPr>
            <w:tcW w:w="922" w:type="dxa"/>
            <w:tcBorders>
              <w:top w:val="nil"/>
              <w:left w:val="nil"/>
              <w:bottom w:val="single" w:sz="4" w:space="0" w:color="auto"/>
              <w:right w:val="single" w:sz="4" w:space="0" w:color="auto"/>
            </w:tcBorders>
            <w:noWrap/>
            <w:vAlign w:val="bottom"/>
            <w:hideMark/>
          </w:tcPr>
          <w:p w14:paraId="2E6B9034" w14:textId="77777777" w:rsidR="00A64DD0" w:rsidRPr="00A64DD0" w:rsidRDefault="00A64DD0" w:rsidP="00553B5E">
            <w:pPr>
              <w:spacing w:after="0" w:line="240" w:lineRule="auto"/>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 </w:t>
            </w:r>
          </w:p>
        </w:tc>
        <w:tc>
          <w:tcPr>
            <w:tcW w:w="1040" w:type="dxa"/>
            <w:tcBorders>
              <w:top w:val="nil"/>
              <w:left w:val="nil"/>
              <w:bottom w:val="single" w:sz="4" w:space="0" w:color="auto"/>
              <w:right w:val="single" w:sz="4" w:space="0" w:color="auto"/>
            </w:tcBorders>
            <w:noWrap/>
            <w:vAlign w:val="bottom"/>
            <w:hideMark/>
          </w:tcPr>
          <w:p w14:paraId="6F87F540" w14:textId="77777777" w:rsidR="00A64DD0" w:rsidRPr="00A64DD0" w:rsidRDefault="00A64DD0" w:rsidP="00553B5E">
            <w:pPr>
              <w:spacing w:after="0" w:line="240" w:lineRule="auto"/>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 </w:t>
            </w:r>
          </w:p>
        </w:tc>
        <w:tc>
          <w:tcPr>
            <w:tcW w:w="1120" w:type="dxa"/>
            <w:tcBorders>
              <w:top w:val="nil"/>
              <w:left w:val="nil"/>
              <w:bottom w:val="single" w:sz="4" w:space="0" w:color="auto"/>
              <w:right w:val="single" w:sz="4" w:space="0" w:color="auto"/>
            </w:tcBorders>
            <w:noWrap/>
            <w:vAlign w:val="bottom"/>
            <w:hideMark/>
          </w:tcPr>
          <w:p w14:paraId="369B3710" w14:textId="77777777" w:rsidR="0006539B" w:rsidRPr="0006539B" w:rsidRDefault="0006539B" w:rsidP="0006539B">
            <w:pPr>
              <w:spacing w:line="240" w:lineRule="auto"/>
              <w:ind w:right="-705"/>
              <w:rPr>
                <w:color w:val="000000" w:themeColor="text1"/>
              </w:rPr>
            </w:pPr>
            <w:r w:rsidRPr="0006539B">
              <w:rPr>
                <w:color w:val="000000" w:themeColor="text1"/>
              </w:rPr>
              <w:t>8.85e-04</w:t>
            </w:r>
          </w:p>
          <w:p w14:paraId="4DD89AB3" w14:textId="2E6011E5" w:rsidR="00A64DD0" w:rsidRPr="00A64DD0" w:rsidRDefault="00A64DD0" w:rsidP="00553B5E">
            <w:pPr>
              <w:spacing w:after="0" w:line="240" w:lineRule="auto"/>
              <w:jc w:val="right"/>
              <w:rPr>
                <w:rFonts w:ascii="Calibri" w:eastAsia="Times New Roman" w:hAnsi="Calibri" w:cs="Calibri"/>
                <w:color w:val="000000"/>
                <w:sz w:val="24"/>
                <w:szCs w:val="24"/>
                <w:lang w:bidi="he-IL"/>
              </w:rPr>
            </w:pPr>
          </w:p>
        </w:tc>
        <w:tc>
          <w:tcPr>
            <w:tcW w:w="1171" w:type="dxa"/>
            <w:tcBorders>
              <w:top w:val="nil"/>
              <w:left w:val="nil"/>
              <w:bottom w:val="single" w:sz="4" w:space="0" w:color="auto"/>
              <w:right w:val="single" w:sz="4" w:space="0" w:color="auto"/>
            </w:tcBorders>
            <w:noWrap/>
            <w:vAlign w:val="bottom"/>
            <w:hideMark/>
          </w:tcPr>
          <w:p w14:paraId="076A5A9E" w14:textId="77777777" w:rsidR="0006539B" w:rsidRPr="0006539B" w:rsidRDefault="0006539B" w:rsidP="0006539B">
            <w:pPr>
              <w:spacing w:line="240" w:lineRule="auto"/>
              <w:ind w:right="-705"/>
              <w:rPr>
                <w:color w:val="000000" w:themeColor="text1"/>
              </w:rPr>
            </w:pPr>
            <w:r w:rsidRPr="0006539B">
              <w:rPr>
                <w:color w:val="000000" w:themeColor="text1"/>
              </w:rPr>
              <w:t>1.03e-03</w:t>
            </w:r>
          </w:p>
          <w:p w14:paraId="09B3A803" w14:textId="32BC9344" w:rsidR="00A64DD0" w:rsidRPr="00A64DD0" w:rsidRDefault="00A64DD0" w:rsidP="00553B5E">
            <w:pPr>
              <w:spacing w:after="0" w:line="240" w:lineRule="auto"/>
              <w:jc w:val="right"/>
              <w:rPr>
                <w:rFonts w:ascii="Calibri" w:eastAsia="Times New Roman" w:hAnsi="Calibri" w:cs="Calibri"/>
                <w:color w:val="000000"/>
                <w:sz w:val="24"/>
                <w:szCs w:val="24"/>
                <w:lang w:bidi="he-IL"/>
              </w:rPr>
            </w:pPr>
          </w:p>
        </w:tc>
        <w:tc>
          <w:tcPr>
            <w:tcW w:w="1134" w:type="dxa"/>
            <w:tcBorders>
              <w:top w:val="nil"/>
              <w:left w:val="nil"/>
              <w:bottom w:val="single" w:sz="4" w:space="0" w:color="auto"/>
              <w:right w:val="single" w:sz="4" w:space="0" w:color="auto"/>
            </w:tcBorders>
            <w:noWrap/>
            <w:vAlign w:val="bottom"/>
            <w:hideMark/>
          </w:tcPr>
          <w:p w14:paraId="4C4F2D45" w14:textId="77777777" w:rsidR="0006539B" w:rsidRPr="0006539B" w:rsidRDefault="0006539B" w:rsidP="0006539B">
            <w:pPr>
              <w:spacing w:line="240" w:lineRule="auto"/>
              <w:ind w:right="-705"/>
              <w:rPr>
                <w:color w:val="000000" w:themeColor="text1"/>
              </w:rPr>
            </w:pPr>
            <w:r w:rsidRPr="0006539B">
              <w:rPr>
                <w:color w:val="000000" w:themeColor="text1"/>
              </w:rPr>
              <w:t>1.06e-03</w:t>
            </w:r>
          </w:p>
          <w:p w14:paraId="4C412C8B" w14:textId="5BC5BF77" w:rsidR="00A64DD0" w:rsidRPr="00A64DD0" w:rsidRDefault="00A64DD0" w:rsidP="00553B5E">
            <w:pPr>
              <w:spacing w:after="0" w:line="240" w:lineRule="auto"/>
              <w:jc w:val="right"/>
              <w:rPr>
                <w:rFonts w:ascii="Calibri" w:eastAsia="Times New Roman" w:hAnsi="Calibri" w:cs="Calibri"/>
                <w:color w:val="000000"/>
                <w:sz w:val="24"/>
                <w:szCs w:val="24"/>
                <w:lang w:bidi="he-IL"/>
              </w:rPr>
            </w:pPr>
          </w:p>
        </w:tc>
        <w:tc>
          <w:tcPr>
            <w:tcW w:w="1134" w:type="dxa"/>
            <w:tcBorders>
              <w:top w:val="nil"/>
              <w:left w:val="nil"/>
              <w:bottom w:val="single" w:sz="4" w:space="0" w:color="auto"/>
              <w:right w:val="single" w:sz="4" w:space="0" w:color="auto"/>
            </w:tcBorders>
            <w:noWrap/>
            <w:vAlign w:val="bottom"/>
            <w:hideMark/>
          </w:tcPr>
          <w:p w14:paraId="03E25F8F" w14:textId="77777777" w:rsidR="0006539B" w:rsidRPr="0006539B" w:rsidRDefault="0006539B" w:rsidP="0006539B">
            <w:pPr>
              <w:spacing w:line="240" w:lineRule="auto"/>
              <w:ind w:right="-705"/>
              <w:rPr>
                <w:color w:val="000000" w:themeColor="text1"/>
              </w:rPr>
            </w:pPr>
            <w:r w:rsidRPr="0006539B">
              <w:rPr>
                <w:color w:val="000000" w:themeColor="text1"/>
              </w:rPr>
              <w:t>1.25e-03</w:t>
            </w:r>
          </w:p>
          <w:p w14:paraId="7B56A5D6" w14:textId="53872D51" w:rsidR="00A64DD0" w:rsidRPr="00A64DD0" w:rsidRDefault="00A64DD0" w:rsidP="00553B5E">
            <w:pPr>
              <w:spacing w:after="0" w:line="240" w:lineRule="auto"/>
              <w:jc w:val="right"/>
              <w:rPr>
                <w:rFonts w:ascii="Calibri" w:eastAsia="Times New Roman" w:hAnsi="Calibri" w:cs="Calibri"/>
                <w:color w:val="000000"/>
                <w:sz w:val="24"/>
                <w:szCs w:val="24"/>
                <w:lang w:bidi="he-IL"/>
              </w:rPr>
            </w:pPr>
          </w:p>
        </w:tc>
        <w:tc>
          <w:tcPr>
            <w:tcW w:w="1134" w:type="dxa"/>
            <w:tcBorders>
              <w:top w:val="nil"/>
              <w:left w:val="nil"/>
              <w:bottom w:val="single" w:sz="4" w:space="0" w:color="auto"/>
              <w:right w:val="single" w:sz="4" w:space="0" w:color="auto"/>
            </w:tcBorders>
            <w:noWrap/>
            <w:vAlign w:val="bottom"/>
            <w:hideMark/>
          </w:tcPr>
          <w:p w14:paraId="782EE35E" w14:textId="77777777" w:rsidR="0006539B" w:rsidRPr="0006539B" w:rsidRDefault="0006539B" w:rsidP="0006539B">
            <w:pPr>
              <w:spacing w:line="240" w:lineRule="auto"/>
              <w:ind w:right="-705"/>
              <w:rPr>
                <w:color w:val="000000" w:themeColor="text1"/>
              </w:rPr>
            </w:pPr>
            <w:r w:rsidRPr="0006539B">
              <w:rPr>
                <w:color w:val="000000" w:themeColor="text1"/>
              </w:rPr>
              <w:t>1.41e-03</w:t>
            </w:r>
          </w:p>
          <w:p w14:paraId="4624FEAC" w14:textId="4165C477" w:rsidR="00A64DD0" w:rsidRPr="00A64DD0" w:rsidRDefault="00A64DD0" w:rsidP="00553B5E">
            <w:pPr>
              <w:spacing w:after="0" w:line="240" w:lineRule="auto"/>
              <w:jc w:val="right"/>
              <w:rPr>
                <w:rFonts w:ascii="Calibri" w:eastAsia="Times New Roman" w:hAnsi="Calibri" w:cs="Calibri"/>
                <w:color w:val="000000"/>
                <w:sz w:val="24"/>
                <w:szCs w:val="24"/>
                <w:lang w:bidi="he-IL"/>
              </w:rPr>
            </w:pPr>
          </w:p>
        </w:tc>
        <w:tc>
          <w:tcPr>
            <w:tcW w:w="1134" w:type="dxa"/>
            <w:tcBorders>
              <w:top w:val="nil"/>
              <w:left w:val="nil"/>
              <w:bottom w:val="single" w:sz="4" w:space="0" w:color="auto"/>
              <w:right w:val="single" w:sz="4" w:space="0" w:color="auto"/>
            </w:tcBorders>
            <w:noWrap/>
            <w:vAlign w:val="bottom"/>
            <w:hideMark/>
          </w:tcPr>
          <w:p w14:paraId="5D84FBC3" w14:textId="77777777" w:rsidR="0006539B" w:rsidRPr="0006539B" w:rsidRDefault="0006539B" w:rsidP="0006539B">
            <w:pPr>
              <w:spacing w:line="240" w:lineRule="auto"/>
              <w:ind w:right="-705"/>
              <w:rPr>
                <w:color w:val="000000" w:themeColor="text1"/>
              </w:rPr>
            </w:pPr>
            <w:r w:rsidRPr="0006539B">
              <w:rPr>
                <w:color w:val="000000" w:themeColor="text1"/>
              </w:rPr>
              <w:t>1.64e-03</w:t>
            </w:r>
          </w:p>
          <w:p w14:paraId="144AF6F6" w14:textId="4DD0C792" w:rsidR="00A64DD0" w:rsidRPr="00A64DD0" w:rsidRDefault="00A64DD0" w:rsidP="00553B5E">
            <w:pPr>
              <w:spacing w:after="0" w:line="240" w:lineRule="auto"/>
              <w:jc w:val="right"/>
              <w:rPr>
                <w:rFonts w:ascii="Calibri" w:eastAsia="Times New Roman" w:hAnsi="Calibri" w:cs="Calibri"/>
                <w:color w:val="000000"/>
                <w:sz w:val="24"/>
                <w:szCs w:val="24"/>
                <w:lang w:bidi="he-IL"/>
              </w:rPr>
            </w:pPr>
          </w:p>
        </w:tc>
        <w:tc>
          <w:tcPr>
            <w:tcW w:w="1134" w:type="dxa"/>
            <w:tcBorders>
              <w:top w:val="nil"/>
              <w:left w:val="nil"/>
              <w:bottom w:val="single" w:sz="4" w:space="0" w:color="auto"/>
              <w:right w:val="single" w:sz="4" w:space="0" w:color="auto"/>
            </w:tcBorders>
            <w:noWrap/>
            <w:vAlign w:val="bottom"/>
            <w:hideMark/>
          </w:tcPr>
          <w:p w14:paraId="3D92D59F" w14:textId="77777777" w:rsidR="0006539B" w:rsidRPr="0006539B" w:rsidRDefault="0006539B" w:rsidP="0006539B">
            <w:pPr>
              <w:spacing w:line="240" w:lineRule="auto"/>
              <w:ind w:right="-705"/>
              <w:rPr>
                <w:color w:val="000000" w:themeColor="text1"/>
              </w:rPr>
            </w:pPr>
            <w:r w:rsidRPr="0006539B">
              <w:rPr>
                <w:color w:val="000000" w:themeColor="text1"/>
              </w:rPr>
              <w:t>1.78e-03</w:t>
            </w:r>
          </w:p>
          <w:p w14:paraId="1AF0F31E" w14:textId="195A704C" w:rsidR="00A64DD0" w:rsidRPr="00A64DD0" w:rsidRDefault="00A64DD0" w:rsidP="00553B5E">
            <w:pPr>
              <w:spacing w:after="0" w:line="240" w:lineRule="auto"/>
              <w:jc w:val="right"/>
              <w:rPr>
                <w:rFonts w:ascii="Calibri" w:eastAsia="Times New Roman" w:hAnsi="Calibri" w:cs="Calibri"/>
                <w:color w:val="000000"/>
                <w:sz w:val="24"/>
                <w:szCs w:val="24"/>
                <w:lang w:bidi="he-IL"/>
              </w:rPr>
            </w:pPr>
          </w:p>
        </w:tc>
        <w:tc>
          <w:tcPr>
            <w:tcW w:w="1134" w:type="dxa"/>
            <w:tcBorders>
              <w:top w:val="nil"/>
              <w:left w:val="nil"/>
              <w:bottom w:val="single" w:sz="4" w:space="0" w:color="auto"/>
              <w:right w:val="single" w:sz="4" w:space="0" w:color="auto"/>
            </w:tcBorders>
            <w:noWrap/>
            <w:vAlign w:val="bottom"/>
            <w:hideMark/>
          </w:tcPr>
          <w:p w14:paraId="548B165E" w14:textId="37B3F20E" w:rsidR="0006539B" w:rsidRPr="0006539B" w:rsidRDefault="0006539B" w:rsidP="0006539B">
            <w:pPr>
              <w:spacing w:line="240" w:lineRule="auto"/>
              <w:ind w:right="-705"/>
              <w:rPr>
                <w:color w:val="000000" w:themeColor="text1"/>
              </w:rPr>
            </w:pPr>
            <w:r w:rsidRPr="0006539B">
              <w:rPr>
                <w:color w:val="000000" w:themeColor="text1"/>
              </w:rPr>
              <w:t>1.94e-03</w:t>
            </w:r>
          </w:p>
          <w:p w14:paraId="28AB7EC5" w14:textId="13D459F0" w:rsidR="00A64DD0" w:rsidRPr="00A64DD0" w:rsidRDefault="00A64DD0" w:rsidP="00553B5E">
            <w:pPr>
              <w:spacing w:after="0" w:line="240" w:lineRule="auto"/>
              <w:jc w:val="right"/>
              <w:rPr>
                <w:rFonts w:ascii="Calibri" w:eastAsia="Times New Roman" w:hAnsi="Calibri" w:cs="Calibri"/>
                <w:color w:val="000000"/>
                <w:sz w:val="24"/>
                <w:szCs w:val="24"/>
                <w:lang w:bidi="he-IL"/>
              </w:rPr>
            </w:pPr>
          </w:p>
        </w:tc>
      </w:tr>
      <w:tr w:rsidR="00A64DD0" w:rsidRPr="00A64DD0" w14:paraId="484CD227" w14:textId="77777777" w:rsidTr="00A64DD0">
        <w:trPr>
          <w:trHeight w:val="320"/>
        </w:trPr>
        <w:tc>
          <w:tcPr>
            <w:tcW w:w="1838" w:type="dxa"/>
            <w:tcBorders>
              <w:top w:val="nil"/>
              <w:left w:val="single" w:sz="4" w:space="0" w:color="auto"/>
              <w:bottom w:val="single" w:sz="4" w:space="0" w:color="auto"/>
              <w:right w:val="single" w:sz="4" w:space="0" w:color="auto"/>
            </w:tcBorders>
            <w:noWrap/>
            <w:vAlign w:val="bottom"/>
            <w:hideMark/>
          </w:tcPr>
          <w:p w14:paraId="4F808160" w14:textId="77777777" w:rsidR="00A64DD0" w:rsidRPr="00A64DD0" w:rsidRDefault="00A64DD0" w:rsidP="00553B5E">
            <w:pPr>
              <w:spacing w:after="0" w:line="240" w:lineRule="auto"/>
              <w:rPr>
                <w:rFonts w:ascii="Calibri" w:eastAsia="Times New Roman" w:hAnsi="Calibri" w:cs="Calibri"/>
                <w:color w:val="000000"/>
                <w:sz w:val="24"/>
                <w:szCs w:val="24"/>
                <w:lang w:bidi="he-IL"/>
              </w:rPr>
            </w:pPr>
            <w:proofErr w:type="spellStart"/>
            <w:r w:rsidRPr="00A64DD0">
              <w:rPr>
                <w:rFonts w:ascii="Calibri" w:eastAsia="Times New Roman" w:hAnsi="Calibri" w:cs="Calibri"/>
                <w:color w:val="000000"/>
                <w:sz w:val="24"/>
                <w:szCs w:val="24"/>
                <w:lang w:bidi="he-IL"/>
              </w:rPr>
              <w:t>wavlength</w:t>
            </w:r>
            <w:proofErr w:type="spellEnd"/>
            <w:r w:rsidRPr="00A64DD0">
              <w:rPr>
                <w:rFonts w:ascii="Calibri" w:eastAsia="Times New Roman" w:hAnsi="Calibri" w:cs="Calibri"/>
                <w:color w:val="000000"/>
                <w:sz w:val="24"/>
                <w:szCs w:val="24"/>
                <w:lang w:bidi="he-IL"/>
              </w:rPr>
              <w:t xml:space="preserve"> [nm]</w:t>
            </w:r>
          </w:p>
        </w:tc>
        <w:tc>
          <w:tcPr>
            <w:tcW w:w="922" w:type="dxa"/>
            <w:tcBorders>
              <w:top w:val="nil"/>
              <w:left w:val="nil"/>
              <w:bottom w:val="single" w:sz="4" w:space="0" w:color="auto"/>
              <w:right w:val="single" w:sz="4" w:space="0" w:color="auto"/>
            </w:tcBorders>
            <w:noWrap/>
            <w:vAlign w:val="bottom"/>
            <w:hideMark/>
          </w:tcPr>
          <w:p w14:paraId="0FF02914"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510</w:t>
            </w:r>
          </w:p>
        </w:tc>
        <w:tc>
          <w:tcPr>
            <w:tcW w:w="1040" w:type="dxa"/>
            <w:tcBorders>
              <w:top w:val="nil"/>
              <w:left w:val="nil"/>
              <w:bottom w:val="single" w:sz="4" w:space="0" w:color="auto"/>
              <w:right w:val="single" w:sz="4" w:space="0" w:color="auto"/>
            </w:tcBorders>
            <w:noWrap/>
            <w:vAlign w:val="bottom"/>
            <w:hideMark/>
          </w:tcPr>
          <w:p w14:paraId="0B6498A5"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520</w:t>
            </w:r>
          </w:p>
        </w:tc>
        <w:tc>
          <w:tcPr>
            <w:tcW w:w="1120" w:type="dxa"/>
            <w:tcBorders>
              <w:top w:val="nil"/>
              <w:left w:val="nil"/>
              <w:bottom w:val="single" w:sz="4" w:space="0" w:color="auto"/>
              <w:right w:val="single" w:sz="4" w:space="0" w:color="auto"/>
            </w:tcBorders>
            <w:noWrap/>
            <w:vAlign w:val="bottom"/>
            <w:hideMark/>
          </w:tcPr>
          <w:p w14:paraId="2D40A425"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530</w:t>
            </w:r>
          </w:p>
        </w:tc>
        <w:tc>
          <w:tcPr>
            <w:tcW w:w="1171" w:type="dxa"/>
            <w:tcBorders>
              <w:top w:val="nil"/>
              <w:left w:val="nil"/>
              <w:bottom w:val="single" w:sz="4" w:space="0" w:color="auto"/>
              <w:right w:val="single" w:sz="4" w:space="0" w:color="auto"/>
            </w:tcBorders>
            <w:noWrap/>
            <w:vAlign w:val="bottom"/>
            <w:hideMark/>
          </w:tcPr>
          <w:p w14:paraId="23E5EDBE"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540</w:t>
            </w:r>
          </w:p>
        </w:tc>
        <w:tc>
          <w:tcPr>
            <w:tcW w:w="1134" w:type="dxa"/>
            <w:tcBorders>
              <w:top w:val="nil"/>
              <w:left w:val="nil"/>
              <w:bottom w:val="single" w:sz="4" w:space="0" w:color="auto"/>
              <w:right w:val="single" w:sz="4" w:space="0" w:color="auto"/>
            </w:tcBorders>
            <w:noWrap/>
            <w:vAlign w:val="bottom"/>
            <w:hideMark/>
          </w:tcPr>
          <w:p w14:paraId="46DE64BF"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550</w:t>
            </w:r>
          </w:p>
        </w:tc>
        <w:tc>
          <w:tcPr>
            <w:tcW w:w="1134" w:type="dxa"/>
            <w:tcBorders>
              <w:top w:val="nil"/>
              <w:left w:val="nil"/>
              <w:bottom w:val="single" w:sz="4" w:space="0" w:color="auto"/>
              <w:right w:val="single" w:sz="4" w:space="0" w:color="auto"/>
            </w:tcBorders>
            <w:noWrap/>
            <w:vAlign w:val="bottom"/>
            <w:hideMark/>
          </w:tcPr>
          <w:p w14:paraId="5CCBBB3E"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560</w:t>
            </w:r>
          </w:p>
        </w:tc>
        <w:tc>
          <w:tcPr>
            <w:tcW w:w="1134" w:type="dxa"/>
            <w:tcBorders>
              <w:top w:val="nil"/>
              <w:left w:val="nil"/>
              <w:bottom w:val="single" w:sz="4" w:space="0" w:color="auto"/>
              <w:right w:val="single" w:sz="4" w:space="0" w:color="auto"/>
            </w:tcBorders>
            <w:noWrap/>
            <w:vAlign w:val="bottom"/>
            <w:hideMark/>
          </w:tcPr>
          <w:p w14:paraId="0EDB1AC9"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570</w:t>
            </w:r>
          </w:p>
        </w:tc>
        <w:tc>
          <w:tcPr>
            <w:tcW w:w="1134" w:type="dxa"/>
            <w:tcBorders>
              <w:top w:val="nil"/>
              <w:left w:val="nil"/>
              <w:bottom w:val="single" w:sz="4" w:space="0" w:color="auto"/>
              <w:right w:val="single" w:sz="4" w:space="0" w:color="auto"/>
            </w:tcBorders>
            <w:noWrap/>
            <w:vAlign w:val="bottom"/>
            <w:hideMark/>
          </w:tcPr>
          <w:p w14:paraId="069F3BA8"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580</w:t>
            </w:r>
          </w:p>
        </w:tc>
        <w:tc>
          <w:tcPr>
            <w:tcW w:w="1134" w:type="dxa"/>
            <w:tcBorders>
              <w:top w:val="nil"/>
              <w:left w:val="nil"/>
              <w:bottom w:val="single" w:sz="4" w:space="0" w:color="auto"/>
              <w:right w:val="single" w:sz="4" w:space="0" w:color="auto"/>
            </w:tcBorders>
            <w:noWrap/>
            <w:vAlign w:val="bottom"/>
            <w:hideMark/>
          </w:tcPr>
          <w:p w14:paraId="25C05D12"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590</w:t>
            </w:r>
          </w:p>
        </w:tc>
        <w:tc>
          <w:tcPr>
            <w:tcW w:w="1134" w:type="dxa"/>
            <w:tcBorders>
              <w:top w:val="nil"/>
              <w:left w:val="nil"/>
              <w:bottom w:val="single" w:sz="4" w:space="0" w:color="auto"/>
              <w:right w:val="single" w:sz="4" w:space="0" w:color="auto"/>
            </w:tcBorders>
            <w:noWrap/>
            <w:vAlign w:val="bottom"/>
            <w:hideMark/>
          </w:tcPr>
          <w:p w14:paraId="5FBF487D"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600</w:t>
            </w:r>
          </w:p>
        </w:tc>
      </w:tr>
      <w:tr w:rsidR="00A64DD0" w:rsidRPr="00A64DD0" w14:paraId="73725F26" w14:textId="77777777" w:rsidTr="00A64DD0">
        <w:trPr>
          <w:trHeight w:val="320"/>
        </w:trPr>
        <w:tc>
          <w:tcPr>
            <w:tcW w:w="1838" w:type="dxa"/>
            <w:tcBorders>
              <w:top w:val="nil"/>
              <w:left w:val="single" w:sz="4" w:space="0" w:color="auto"/>
              <w:bottom w:val="single" w:sz="4" w:space="0" w:color="auto"/>
              <w:right w:val="single" w:sz="4" w:space="0" w:color="auto"/>
            </w:tcBorders>
            <w:noWrap/>
            <w:vAlign w:val="bottom"/>
            <w:hideMark/>
          </w:tcPr>
          <w:p w14:paraId="46270DD7" w14:textId="169B87CF" w:rsidR="00A64DD0" w:rsidRPr="00A64DD0" w:rsidRDefault="00A64DD0" w:rsidP="00553B5E">
            <w:pPr>
              <w:spacing w:after="0" w:line="240" w:lineRule="auto"/>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slope (mu)</w:t>
            </w:r>
            <w:r>
              <w:rPr>
                <w:rFonts w:ascii="Calibri" w:eastAsia="Times New Roman" w:hAnsi="Calibri" w:cs="Calibri"/>
                <w:color w:val="000000"/>
                <w:sz w:val="24"/>
                <w:szCs w:val="24"/>
                <w:lang w:bidi="he-IL"/>
              </w:rPr>
              <w:t xml:space="preserve"> [Sr</w:t>
            </w:r>
            <w:r w:rsidRPr="00A64DD0">
              <w:rPr>
                <w:rFonts w:ascii="Calibri" w:eastAsia="Times New Roman" w:hAnsi="Calibri" w:cs="Calibri"/>
                <w:color w:val="000000"/>
                <w:sz w:val="24"/>
                <w:szCs w:val="24"/>
                <w:vertAlign w:val="superscript"/>
                <w:lang w:bidi="he-IL"/>
              </w:rPr>
              <w:t>-1</w:t>
            </w:r>
            <w:r>
              <w:rPr>
                <w:rFonts w:ascii="Calibri" w:eastAsia="Times New Roman" w:hAnsi="Calibri" w:cs="Calibri"/>
                <w:color w:val="000000"/>
                <w:sz w:val="24"/>
                <w:szCs w:val="24"/>
                <w:lang w:bidi="he-IL"/>
              </w:rPr>
              <w:t xml:space="preserve"> m</w:t>
            </w:r>
            <w:r w:rsidRPr="00A64DD0">
              <w:rPr>
                <w:rFonts w:ascii="Calibri" w:eastAsia="Times New Roman" w:hAnsi="Calibri" w:cs="Calibri"/>
                <w:color w:val="000000"/>
                <w:sz w:val="24"/>
                <w:szCs w:val="24"/>
                <w:vertAlign w:val="superscript"/>
                <w:lang w:bidi="he-IL"/>
              </w:rPr>
              <w:t>-1</w:t>
            </w:r>
            <w:r>
              <w:rPr>
                <w:rFonts w:ascii="Calibri" w:eastAsia="Times New Roman" w:hAnsi="Calibri" w:cs="Calibri"/>
                <w:color w:val="000000"/>
                <w:sz w:val="24"/>
                <w:szCs w:val="24"/>
                <w:lang w:bidi="he-IL"/>
              </w:rPr>
              <w:t xml:space="preserve"> count</w:t>
            </w:r>
            <w:r w:rsidRPr="00A64DD0">
              <w:rPr>
                <w:rFonts w:ascii="Calibri" w:eastAsia="Times New Roman" w:hAnsi="Calibri" w:cs="Calibri"/>
                <w:color w:val="000000"/>
                <w:sz w:val="24"/>
                <w:szCs w:val="24"/>
                <w:vertAlign w:val="superscript"/>
                <w:lang w:bidi="he-IL"/>
              </w:rPr>
              <w:t>-1</w:t>
            </w:r>
            <w:r>
              <w:rPr>
                <w:rFonts w:ascii="Calibri" w:eastAsia="Times New Roman" w:hAnsi="Calibri" w:cs="Calibri"/>
                <w:color w:val="000000"/>
                <w:sz w:val="24"/>
                <w:szCs w:val="24"/>
                <w:lang w:bidi="he-IL"/>
              </w:rPr>
              <w:t>]</w:t>
            </w:r>
          </w:p>
        </w:tc>
        <w:tc>
          <w:tcPr>
            <w:tcW w:w="922" w:type="dxa"/>
            <w:tcBorders>
              <w:top w:val="nil"/>
              <w:left w:val="nil"/>
              <w:bottom w:val="single" w:sz="4" w:space="0" w:color="auto"/>
              <w:right w:val="single" w:sz="4" w:space="0" w:color="auto"/>
            </w:tcBorders>
            <w:noWrap/>
            <w:vAlign w:val="bottom"/>
            <w:hideMark/>
          </w:tcPr>
          <w:p w14:paraId="2D11F75C" w14:textId="77777777" w:rsidR="0006539B" w:rsidRPr="0006539B" w:rsidRDefault="0006539B" w:rsidP="0006539B">
            <w:pPr>
              <w:spacing w:line="240" w:lineRule="auto"/>
              <w:ind w:right="-705"/>
              <w:rPr>
                <w:color w:val="000000" w:themeColor="text1"/>
              </w:rPr>
            </w:pPr>
            <w:r w:rsidRPr="0006539B">
              <w:rPr>
                <w:color w:val="000000" w:themeColor="text1"/>
              </w:rPr>
              <w:t>2.15e-03</w:t>
            </w:r>
          </w:p>
          <w:p w14:paraId="634ACB9E" w14:textId="6CE52038" w:rsidR="00A64DD0" w:rsidRPr="00A64DD0" w:rsidRDefault="00A64DD0" w:rsidP="00553B5E">
            <w:pPr>
              <w:spacing w:after="0" w:line="240" w:lineRule="auto"/>
              <w:jc w:val="right"/>
              <w:rPr>
                <w:rFonts w:ascii="Calibri" w:eastAsia="Times New Roman" w:hAnsi="Calibri" w:cs="Calibri"/>
                <w:color w:val="000000"/>
                <w:sz w:val="24"/>
                <w:szCs w:val="24"/>
                <w:lang w:bidi="he-IL"/>
              </w:rPr>
            </w:pPr>
          </w:p>
        </w:tc>
        <w:tc>
          <w:tcPr>
            <w:tcW w:w="1040" w:type="dxa"/>
            <w:tcBorders>
              <w:top w:val="nil"/>
              <w:left w:val="nil"/>
              <w:bottom w:val="single" w:sz="4" w:space="0" w:color="auto"/>
              <w:right w:val="single" w:sz="4" w:space="0" w:color="auto"/>
            </w:tcBorders>
            <w:noWrap/>
            <w:vAlign w:val="bottom"/>
            <w:hideMark/>
          </w:tcPr>
          <w:p w14:paraId="4447F88A" w14:textId="77777777" w:rsidR="0006539B" w:rsidRPr="0006539B" w:rsidRDefault="0006539B" w:rsidP="0006539B">
            <w:pPr>
              <w:spacing w:line="240" w:lineRule="auto"/>
              <w:ind w:right="-705"/>
              <w:rPr>
                <w:color w:val="000000" w:themeColor="text1"/>
              </w:rPr>
            </w:pPr>
            <w:r w:rsidRPr="0006539B">
              <w:rPr>
                <w:color w:val="000000" w:themeColor="text1"/>
              </w:rPr>
              <w:t>2.39e-03</w:t>
            </w:r>
          </w:p>
          <w:p w14:paraId="4772566C" w14:textId="56638DE9" w:rsidR="00A64DD0" w:rsidRPr="00A64DD0" w:rsidRDefault="00A64DD0" w:rsidP="00553B5E">
            <w:pPr>
              <w:spacing w:after="0" w:line="240" w:lineRule="auto"/>
              <w:jc w:val="right"/>
              <w:rPr>
                <w:rFonts w:ascii="Calibri" w:eastAsia="Times New Roman" w:hAnsi="Calibri" w:cs="Calibri"/>
                <w:color w:val="000000"/>
                <w:sz w:val="24"/>
                <w:szCs w:val="24"/>
                <w:lang w:bidi="he-IL"/>
              </w:rPr>
            </w:pPr>
          </w:p>
        </w:tc>
        <w:tc>
          <w:tcPr>
            <w:tcW w:w="1120" w:type="dxa"/>
            <w:tcBorders>
              <w:top w:val="nil"/>
              <w:left w:val="nil"/>
              <w:bottom w:val="single" w:sz="4" w:space="0" w:color="auto"/>
              <w:right w:val="single" w:sz="4" w:space="0" w:color="auto"/>
            </w:tcBorders>
            <w:noWrap/>
            <w:vAlign w:val="bottom"/>
            <w:hideMark/>
          </w:tcPr>
          <w:p w14:paraId="4D2561A4" w14:textId="77777777" w:rsidR="0006539B" w:rsidRPr="0006539B" w:rsidRDefault="0006539B" w:rsidP="0006539B">
            <w:pPr>
              <w:spacing w:line="240" w:lineRule="auto"/>
              <w:ind w:right="-705"/>
              <w:rPr>
                <w:color w:val="000000" w:themeColor="text1"/>
              </w:rPr>
            </w:pPr>
            <w:r w:rsidRPr="0006539B">
              <w:rPr>
                <w:color w:val="000000" w:themeColor="text1"/>
              </w:rPr>
              <w:t>2.65e-03</w:t>
            </w:r>
          </w:p>
          <w:p w14:paraId="086A47E7" w14:textId="35DBD273" w:rsidR="00A64DD0" w:rsidRPr="00A64DD0" w:rsidRDefault="00A64DD0" w:rsidP="00553B5E">
            <w:pPr>
              <w:spacing w:after="0" w:line="240" w:lineRule="auto"/>
              <w:jc w:val="right"/>
              <w:rPr>
                <w:rFonts w:ascii="Calibri" w:eastAsia="Times New Roman" w:hAnsi="Calibri" w:cs="Calibri"/>
                <w:color w:val="000000"/>
                <w:sz w:val="24"/>
                <w:szCs w:val="24"/>
                <w:lang w:bidi="he-IL"/>
              </w:rPr>
            </w:pPr>
          </w:p>
        </w:tc>
        <w:tc>
          <w:tcPr>
            <w:tcW w:w="1171" w:type="dxa"/>
            <w:tcBorders>
              <w:top w:val="nil"/>
              <w:left w:val="nil"/>
              <w:bottom w:val="single" w:sz="4" w:space="0" w:color="auto"/>
              <w:right w:val="single" w:sz="4" w:space="0" w:color="auto"/>
            </w:tcBorders>
            <w:noWrap/>
            <w:vAlign w:val="bottom"/>
            <w:hideMark/>
          </w:tcPr>
          <w:p w14:paraId="1AE1FF2A" w14:textId="77777777" w:rsidR="0006539B" w:rsidRPr="0006539B" w:rsidRDefault="0006539B" w:rsidP="0006539B">
            <w:pPr>
              <w:spacing w:line="240" w:lineRule="auto"/>
              <w:ind w:right="-705"/>
              <w:rPr>
                <w:color w:val="000000" w:themeColor="text1"/>
              </w:rPr>
            </w:pPr>
            <w:r w:rsidRPr="0006539B">
              <w:rPr>
                <w:color w:val="000000" w:themeColor="text1"/>
              </w:rPr>
              <w:t>2.94e-03</w:t>
            </w:r>
          </w:p>
          <w:p w14:paraId="70551426" w14:textId="0E1370FB" w:rsidR="00A64DD0" w:rsidRPr="00A64DD0" w:rsidRDefault="00A64DD0" w:rsidP="00553B5E">
            <w:pPr>
              <w:spacing w:after="0" w:line="240" w:lineRule="auto"/>
              <w:jc w:val="right"/>
              <w:rPr>
                <w:rFonts w:ascii="Calibri" w:eastAsia="Times New Roman" w:hAnsi="Calibri" w:cs="Calibri"/>
                <w:color w:val="000000"/>
                <w:sz w:val="24"/>
                <w:szCs w:val="24"/>
                <w:lang w:bidi="he-IL"/>
              </w:rPr>
            </w:pPr>
          </w:p>
        </w:tc>
        <w:tc>
          <w:tcPr>
            <w:tcW w:w="1134" w:type="dxa"/>
            <w:tcBorders>
              <w:top w:val="nil"/>
              <w:left w:val="nil"/>
              <w:bottom w:val="single" w:sz="4" w:space="0" w:color="auto"/>
              <w:right w:val="single" w:sz="4" w:space="0" w:color="auto"/>
            </w:tcBorders>
            <w:noWrap/>
            <w:vAlign w:val="bottom"/>
            <w:hideMark/>
          </w:tcPr>
          <w:p w14:paraId="227002EC" w14:textId="77777777" w:rsidR="0006539B" w:rsidRPr="0006539B" w:rsidRDefault="0006539B" w:rsidP="0006539B">
            <w:pPr>
              <w:spacing w:line="240" w:lineRule="auto"/>
              <w:ind w:right="-705"/>
              <w:rPr>
                <w:color w:val="000000" w:themeColor="text1"/>
              </w:rPr>
            </w:pPr>
            <w:r w:rsidRPr="0006539B">
              <w:rPr>
                <w:color w:val="000000" w:themeColor="text1"/>
              </w:rPr>
              <w:t>3.23e-03</w:t>
            </w:r>
          </w:p>
          <w:p w14:paraId="0AF2EE98" w14:textId="795A90C0" w:rsidR="00A64DD0" w:rsidRPr="00A64DD0" w:rsidRDefault="00A64DD0" w:rsidP="00553B5E">
            <w:pPr>
              <w:spacing w:after="0" w:line="240" w:lineRule="auto"/>
              <w:jc w:val="right"/>
              <w:rPr>
                <w:rFonts w:ascii="Calibri" w:eastAsia="Times New Roman" w:hAnsi="Calibri" w:cs="Calibri"/>
                <w:color w:val="000000"/>
                <w:sz w:val="24"/>
                <w:szCs w:val="24"/>
                <w:lang w:bidi="he-IL"/>
              </w:rPr>
            </w:pPr>
          </w:p>
        </w:tc>
        <w:tc>
          <w:tcPr>
            <w:tcW w:w="1134" w:type="dxa"/>
            <w:tcBorders>
              <w:top w:val="nil"/>
              <w:left w:val="nil"/>
              <w:bottom w:val="single" w:sz="4" w:space="0" w:color="auto"/>
              <w:right w:val="single" w:sz="4" w:space="0" w:color="auto"/>
            </w:tcBorders>
            <w:noWrap/>
            <w:vAlign w:val="bottom"/>
            <w:hideMark/>
          </w:tcPr>
          <w:p w14:paraId="442F1FC1" w14:textId="77777777" w:rsidR="0006539B" w:rsidRPr="0006539B" w:rsidRDefault="0006539B" w:rsidP="0006539B">
            <w:pPr>
              <w:spacing w:line="240" w:lineRule="auto"/>
              <w:ind w:right="-705"/>
              <w:rPr>
                <w:color w:val="000000" w:themeColor="text1"/>
              </w:rPr>
            </w:pPr>
            <w:r w:rsidRPr="0006539B">
              <w:rPr>
                <w:color w:val="000000" w:themeColor="text1"/>
              </w:rPr>
              <w:t>3.44e-03</w:t>
            </w:r>
          </w:p>
          <w:p w14:paraId="24B7E934" w14:textId="5B3CBD18" w:rsidR="00A64DD0" w:rsidRPr="00A64DD0" w:rsidRDefault="00A64DD0" w:rsidP="00553B5E">
            <w:pPr>
              <w:spacing w:after="0" w:line="240" w:lineRule="auto"/>
              <w:jc w:val="right"/>
              <w:rPr>
                <w:rFonts w:ascii="Calibri" w:eastAsia="Times New Roman" w:hAnsi="Calibri" w:cs="Calibri"/>
                <w:color w:val="000000"/>
                <w:sz w:val="24"/>
                <w:szCs w:val="24"/>
                <w:lang w:bidi="he-IL"/>
              </w:rPr>
            </w:pPr>
          </w:p>
        </w:tc>
        <w:tc>
          <w:tcPr>
            <w:tcW w:w="1134" w:type="dxa"/>
            <w:tcBorders>
              <w:top w:val="nil"/>
              <w:left w:val="nil"/>
              <w:bottom w:val="single" w:sz="4" w:space="0" w:color="auto"/>
              <w:right w:val="single" w:sz="4" w:space="0" w:color="auto"/>
            </w:tcBorders>
            <w:noWrap/>
            <w:vAlign w:val="bottom"/>
            <w:hideMark/>
          </w:tcPr>
          <w:p w14:paraId="1C2F08C0" w14:textId="77777777" w:rsidR="0006539B" w:rsidRPr="0006539B" w:rsidRDefault="0006539B" w:rsidP="0006539B">
            <w:pPr>
              <w:spacing w:line="240" w:lineRule="auto"/>
              <w:ind w:right="-705"/>
              <w:rPr>
                <w:color w:val="000000" w:themeColor="text1"/>
              </w:rPr>
            </w:pPr>
            <w:r w:rsidRPr="0006539B">
              <w:rPr>
                <w:color w:val="000000" w:themeColor="text1"/>
              </w:rPr>
              <w:t>3.64e-03</w:t>
            </w:r>
          </w:p>
          <w:p w14:paraId="3E7A3B45" w14:textId="2041ED08" w:rsidR="00A64DD0" w:rsidRPr="00A64DD0" w:rsidRDefault="00A64DD0" w:rsidP="00553B5E">
            <w:pPr>
              <w:spacing w:after="0" w:line="240" w:lineRule="auto"/>
              <w:jc w:val="right"/>
              <w:rPr>
                <w:rFonts w:ascii="Calibri" w:eastAsia="Times New Roman" w:hAnsi="Calibri" w:cs="Calibri"/>
                <w:color w:val="000000"/>
                <w:sz w:val="24"/>
                <w:szCs w:val="24"/>
                <w:lang w:bidi="he-IL"/>
              </w:rPr>
            </w:pPr>
          </w:p>
        </w:tc>
        <w:tc>
          <w:tcPr>
            <w:tcW w:w="1134" w:type="dxa"/>
            <w:tcBorders>
              <w:top w:val="nil"/>
              <w:left w:val="nil"/>
              <w:bottom w:val="single" w:sz="4" w:space="0" w:color="auto"/>
              <w:right w:val="single" w:sz="4" w:space="0" w:color="auto"/>
            </w:tcBorders>
            <w:noWrap/>
            <w:vAlign w:val="bottom"/>
            <w:hideMark/>
          </w:tcPr>
          <w:p w14:paraId="4CA5F1DC" w14:textId="77777777" w:rsidR="0006539B" w:rsidRPr="0006539B" w:rsidRDefault="0006539B" w:rsidP="0006539B">
            <w:pPr>
              <w:spacing w:line="240" w:lineRule="auto"/>
              <w:ind w:right="-705"/>
              <w:rPr>
                <w:color w:val="000000" w:themeColor="text1"/>
              </w:rPr>
            </w:pPr>
            <w:r w:rsidRPr="0006539B">
              <w:rPr>
                <w:color w:val="000000" w:themeColor="text1"/>
              </w:rPr>
              <w:t>3.99e-03</w:t>
            </w:r>
          </w:p>
          <w:p w14:paraId="72409590" w14:textId="75C61F26" w:rsidR="00A64DD0" w:rsidRPr="00A64DD0" w:rsidRDefault="00A64DD0" w:rsidP="00553B5E">
            <w:pPr>
              <w:spacing w:after="0" w:line="240" w:lineRule="auto"/>
              <w:jc w:val="right"/>
              <w:rPr>
                <w:rFonts w:ascii="Calibri" w:eastAsia="Times New Roman" w:hAnsi="Calibri" w:cs="Calibri"/>
                <w:color w:val="000000"/>
                <w:sz w:val="24"/>
                <w:szCs w:val="24"/>
                <w:lang w:bidi="he-IL"/>
              </w:rPr>
            </w:pPr>
          </w:p>
        </w:tc>
        <w:tc>
          <w:tcPr>
            <w:tcW w:w="1134" w:type="dxa"/>
            <w:tcBorders>
              <w:top w:val="nil"/>
              <w:left w:val="nil"/>
              <w:bottom w:val="single" w:sz="4" w:space="0" w:color="auto"/>
              <w:right w:val="single" w:sz="4" w:space="0" w:color="auto"/>
            </w:tcBorders>
            <w:noWrap/>
            <w:vAlign w:val="bottom"/>
            <w:hideMark/>
          </w:tcPr>
          <w:p w14:paraId="693BD603" w14:textId="77777777" w:rsidR="0006539B" w:rsidRPr="0006539B" w:rsidRDefault="0006539B" w:rsidP="0006539B">
            <w:pPr>
              <w:spacing w:line="240" w:lineRule="auto"/>
              <w:ind w:right="-705"/>
              <w:rPr>
                <w:color w:val="000000" w:themeColor="text1"/>
              </w:rPr>
            </w:pPr>
            <w:r w:rsidRPr="0006539B">
              <w:rPr>
                <w:color w:val="000000" w:themeColor="text1"/>
              </w:rPr>
              <w:t>4.47e-03</w:t>
            </w:r>
          </w:p>
          <w:p w14:paraId="32B6AACD" w14:textId="48F7E5E8" w:rsidR="00A64DD0" w:rsidRPr="00A64DD0" w:rsidRDefault="00A64DD0" w:rsidP="00553B5E">
            <w:pPr>
              <w:spacing w:after="0" w:line="240" w:lineRule="auto"/>
              <w:jc w:val="right"/>
              <w:rPr>
                <w:rFonts w:ascii="Calibri" w:eastAsia="Times New Roman" w:hAnsi="Calibri" w:cs="Calibri"/>
                <w:color w:val="000000"/>
                <w:sz w:val="24"/>
                <w:szCs w:val="24"/>
                <w:lang w:bidi="he-IL"/>
              </w:rPr>
            </w:pPr>
          </w:p>
        </w:tc>
        <w:tc>
          <w:tcPr>
            <w:tcW w:w="1134" w:type="dxa"/>
            <w:tcBorders>
              <w:top w:val="nil"/>
              <w:left w:val="nil"/>
              <w:bottom w:val="single" w:sz="4" w:space="0" w:color="auto"/>
              <w:right w:val="single" w:sz="4" w:space="0" w:color="auto"/>
            </w:tcBorders>
            <w:noWrap/>
            <w:vAlign w:val="bottom"/>
            <w:hideMark/>
          </w:tcPr>
          <w:p w14:paraId="782251DB" w14:textId="7F115C25" w:rsidR="0006539B" w:rsidRPr="0006539B" w:rsidRDefault="0006539B" w:rsidP="0006539B">
            <w:pPr>
              <w:spacing w:line="240" w:lineRule="auto"/>
              <w:ind w:right="-705"/>
              <w:rPr>
                <w:color w:val="000000" w:themeColor="text1"/>
              </w:rPr>
            </w:pPr>
            <w:r w:rsidRPr="0006539B">
              <w:rPr>
                <w:color w:val="000000" w:themeColor="text1"/>
              </w:rPr>
              <w:t>4.84e-03</w:t>
            </w:r>
          </w:p>
          <w:p w14:paraId="24C34D1F" w14:textId="62231D27" w:rsidR="00A64DD0" w:rsidRPr="00A64DD0" w:rsidRDefault="00A64DD0" w:rsidP="00553B5E">
            <w:pPr>
              <w:spacing w:after="0" w:line="240" w:lineRule="auto"/>
              <w:jc w:val="right"/>
              <w:rPr>
                <w:rFonts w:ascii="Calibri" w:eastAsia="Times New Roman" w:hAnsi="Calibri" w:cs="Calibri"/>
                <w:color w:val="000000"/>
                <w:sz w:val="24"/>
                <w:szCs w:val="24"/>
                <w:lang w:bidi="he-IL"/>
              </w:rPr>
            </w:pPr>
          </w:p>
        </w:tc>
      </w:tr>
      <w:tr w:rsidR="00A64DD0" w:rsidRPr="00A64DD0" w14:paraId="4499788F" w14:textId="77777777" w:rsidTr="00A64DD0">
        <w:trPr>
          <w:trHeight w:val="320"/>
        </w:trPr>
        <w:tc>
          <w:tcPr>
            <w:tcW w:w="1838" w:type="dxa"/>
            <w:tcBorders>
              <w:top w:val="nil"/>
              <w:left w:val="single" w:sz="4" w:space="0" w:color="auto"/>
              <w:bottom w:val="single" w:sz="4" w:space="0" w:color="auto"/>
              <w:right w:val="single" w:sz="4" w:space="0" w:color="auto"/>
            </w:tcBorders>
            <w:noWrap/>
            <w:vAlign w:val="bottom"/>
            <w:hideMark/>
          </w:tcPr>
          <w:p w14:paraId="05B91A30" w14:textId="77777777" w:rsidR="00A64DD0" w:rsidRPr="00A64DD0" w:rsidRDefault="00A64DD0" w:rsidP="00553B5E">
            <w:pPr>
              <w:spacing w:after="0" w:line="240" w:lineRule="auto"/>
              <w:rPr>
                <w:rFonts w:ascii="Calibri" w:eastAsia="Times New Roman" w:hAnsi="Calibri" w:cs="Calibri"/>
                <w:color w:val="000000"/>
                <w:sz w:val="24"/>
                <w:szCs w:val="24"/>
                <w:lang w:bidi="he-IL"/>
              </w:rPr>
            </w:pPr>
            <w:proofErr w:type="spellStart"/>
            <w:r w:rsidRPr="00A64DD0">
              <w:rPr>
                <w:rFonts w:ascii="Calibri" w:eastAsia="Times New Roman" w:hAnsi="Calibri" w:cs="Calibri"/>
                <w:color w:val="000000"/>
                <w:sz w:val="24"/>
                <w:szCs w:val="24"/>
                <w:lang w:bidi="he-IL"/>
              </w:rPr>
              <w:t>wavlength</w:t>
            </w:r>
            <w:proofErr w:type="spellEnd"/>
            <w:r w:rsidRPr="00A64DD0">
              <w:rPr>
                <w:rFonts w:ascii="Calibri" w:eastAsia="Times New Roman" w:hAnsi="Calibri" w:cs="Calibri"/>
                <w:color w:val="000000"/>
                <w:sz w:val="24"/>
                <w:szCs w:val="24"/>
                <w:lang w:bidi="he-IL"/>
              </w:rPr>
              <w:t xml:space="preserve"> [nm]</w:t>
            </w:r>
          </w:p>
        </w:tc>
        <w:tc>
          <w:tcPr>
            <w:tcW w:w="922" w:type="dxa"/>
            <w:tcBorders>
              <w:top w:val="nil"/>
              <w:left w:val="nil"/>
              <w:bottom w:val="single" w:sz="4" w:space="0" w:color="auto"/>
              <w:right w:val="single" w:sz="4" w:space="0" w:color="auto"/>
            </w:tcBorders>
            <w:noWrap/>
            <w:vAlign w:val="bottom"/>
            <w:hideMark/>
          </w:tcPr>
          <w:p w14:paraId="292E4DC6"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610</w:t>
            </w:r>
          </w:p>
        </w:tc>
        <w:tc>
          <w:tcPr>
            <w:tcW w:w="1040" w:type="dxa"/>
            <w:tcBorders>
              <w:top w:val="nil"/>
              <w:left w:val="nil"/>
              <w:bottom w:val="single" w:sz="4" w:space="0" w:color="auto"/>
              <w:right w:val="single" w:sz="4" w:space="0" w:color="auto"/>
            </w:tcBorders>
            <w:noWrap/>
            <w:vAlign w:val="bottom"/>
            <w:hideMark/>
          </w:tcPr>
          <w:p w14:paraId="706A7074"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620</w:t>
            </w:r>
          </w:p>
        </w:tc>
        <w:tc>
          <w:tcPr>
            <w:tcW w:w="1120" w:type="dxa"/>
            <w:tcBorders>
              <w:top w:val="nil"/>
              <w:left w:val="nil"/>
              <w:bottom w:val="single" w:sz="4" w:space="0" w:color="auto"/>
              <w:right w:val="single" w:sz="4" w:space="0" w:color="auto"/>
            </w:tcBorders>
            <w:noWrap/>
            <w:vAlign w:val="bottom"/>
            <w:hideMark/>
          </w:tcPr>
          <w:p w14:paraId="3E6915F1"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630</w:t>
            </w:r>
          </w:p>
        </w:tc>
        <w:tc>
          <w:tcPr>
            <w:tcW w:w="1171" w:type="dxa"/>
            <w:tcBorders>
              <w:top w:val="nil"/>
              <w:left w:val="nil"/>
              <w:bottom w:val="single" w:sz="4" w:space="0" w:color="auto"/>
              <w:right w:val="single" w:sz="4" w:space="0" w:color="auto"/>
            </w:tcBorders>
            <w:noWrap/>
            <w:vAlign w:val="bottom"/>
            <w:hideMark/>
          </w:tcPr>
          <w:p w14:paraId="607B8582"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640</w:t>
            </w:r>
          </w:p>
        </w:tc>
        <w:tc>
          <w:tcPr>
            <w:tcW w:w="1134" w:type="dxa"/>
            <w:tcBorders>
              <w:top w:val="nil"/>
              <w:left w:val="nil"/>
              <w:bottom w:val="single" w:sz="4" w:space="0" w:color="auto"/>
              <w:right w:val="single" w:sz="4" w:space="0" w:color="auto"/>
            </w:tcBorders>
            <w:noWrap/>
            <w:vAlign w:val="bottom"/>
            <w:hideMark/>
          </w:tcPr>
          <w:p w14:paraId="7DBDA696"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650</w:t>
            </w:r>
          </w:p>
        </w:tc>
        <w:tc>
          <w:tcPr>
            <w:tcW w:w="1134" w:type="dxa"/>
            <w:tcBorders>
              <w:top w:val="nil"/>
              <w:left w:val="nil"/>
              <w:bottom w:val="single" w:sz="4" w:space="0" w:color="auto"/>
              <w:right w:val="single" w:sz="4" w:space="0" w:color="auto"/>
            </w:tcBorders>
            <w:noWrap/>
            <w:vAlign w:val="bottom"/>
            <w:hideMark/>
          </w:tcPr>
          <w:p w14:paraId="6FACCAF1"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660</w:t>
            </w:r>
          </w:p>
        </w:tc>
        <w:tc>
          <w:tcPr>
            <w:tcW w:w="1134" w:type="dxa"/>
            <w:tcBorders>
              <w:top w:val="nil"/>
              <w:left w:val="nil"/>
              <w:bottom w:val="single" w:sz="4" w:space="0" w:color="auto"/>
              <w:right w:val="single" w:sz="4" w:space="0" w:color="auto"/>
            </w:tcBorders>
            <w:noWrap/>
            <w:vAlign w:val="bottom"/>
            <w:hideMark/>
          </w:tcPr>
          <w:p w14:paraId="52F26288"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670</w:t>
            </w:r>
          </w:p>
        </w:tc>
        <w:tc>
          <w:tcPr>
            <w:tcW w:w="1134" w:type="dxa"/>
            <w:tcBorders>
              <w:top w:val="nil"/>
              <w:left w:val="nil"/>
              <w:bottom w:val="single" w:sz="4" w:space="0" w:color="auto"/>
              <w:right w:val="single" w:sz="4" w:space="0" w:color="auto"/>
            </w:tcBorders>
            <w:noWrap/>
            <w:vAlign w:val="bottom"/>
            <w:hideMark/>
          </w:tcPr>
          <w:p w14:paraId="37BAD34C"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680</w:t>
            </w:r>
          </w:p>
        </w:tc>
        <w:tc>
          <w:tcPr>
            <w:tcW w:w="1134" w:type="dxa"/>
            <w:tcBorders>
              <w:top w:val="nil"/>
              <w:left w:val="nil"/>
              <w:bottom w:val="single" w:sz="4" w:space="0" w:color="auto"/>
              <w:right w:val="single" w:sz="4" w:space="0" w:color="auto"/>
            </w:tcBorders>
            <w:noWrap/>
            <w:vAlign w:val="bottom"/>
            <w:hideMark/>
          </w:tcPr>
          <w:p w14:paraId="1548E6ED"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690</w:t>
            </w:r>
          </w:p>
        </w:tc>
        <w:tc>
          <w:tcPr>
            <w:tcW w:w="1134" w:type="dxa"/>
            <w:tcBorders>
              <w:top w:val="nil"/>
              <w:left w:val="nil"/>
              <w:bottom w:val="single" w:sz="4" w:space="0" w:color="auto"/>
              <w:right w:val="single" w:sz="4" w:space="0" w:color="auto"/>
            </w:tcBorders>
            <w:noWrap/>
            <w:vAlign w:val="bottom"/>
            <w:hideMark/>
          </w:tcPr>
          <w:p w14:paraId="28CFBD2F" w14:textId="77777777" w:rsidR="00A64DD0" w:rsidRPr="00A64DD0" w:rsidRDefault="00A64DD0" w:rsidP="00553B5E">
            <w:pPr>
              <w:spacing w:after="0" w:line="240" w:lineRule="auto"/>
              <w:jc w:val="right"/>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700</w:t>
            </w:r>
          </w:p>
        </w:tc>
      </w:tr>
      <w:tr w:rsidR="0006539B" w:rsidRPr="00A64DD0" w14:paraId="2F1036B8" w14:textId="77777777" w:rsidTr="0006539B">
        <w:trPr>
          <w:trHeight w:val="320"/>
        </w:trPr>
        <w:tc>
          <w:tcPr>
            <w:tcW w:w="1838" w:type="dxa"/>
            <w:tcBorders>
              <w:top w:val="nil"/>
              <w:left w:val="single" w:sz="4" w:space="0" w:color="auto"/>
              <w:bottom w:val="single" w:sz="4" w:space="0" w:color="auto"/>
              <w:right w:val="single" w:sz="4" w:space="0" w:color="auto"/>
            </w:tcBorders>
            <w:noWrap/>
            <w:vAlign w:val="bottom"/>
            <w:hideMark/>
          </w:tcPr>
          <w:p w14:paraId="4EB2E089" w14:textId="4373F1C5" w:rsidR="0006539B" w:rsidRPr="00A64DD0" w:rsidRDefault="0006539B" w:rsidP="0006539B">
            <w:pPr>
              <w:spacing w:after="0" w:line="240" w:lineRule="auto"/>
              <w:rPr>
                <w:rFonts w:ascii="Calibri" w:eastAsia="Times New Roman" w:hAnsi="Calibri" w:cs="Calibri"/>
                <w:color w:val="000000"/>
                <w:sz w:val="24"/>
                <w:szCs w:val="24"/>
                <w:lang w:bidi="he-IL"/>
              </w:rPr>
            </w:pPr>
            <w:r w:rsidRPr="00A64DD0">
              <w:rPr>
                <w:rFonts w:ascii="Calibri" w:eastAsia="Times New Roman" w:hAnsi="Calibri" w:cs="Calibri"/>
                <w:color w:val="000000"/>
                <w:sz w:val="24"/>
                <w:szCs w:val="24"/>
                <w:lang w:bidi="he-IL"/>
              </w:rPr>
              <w:t>slope (mu)</w:t>
            </w:r>
            <w:r>
              <w:rPr>
                <w:rFonts w:ascii="Calibri" w:eastAsia="Times New Roman" w:hAnsi="Calibri" w:cs="Calibri"/>
                <w:color w:val="000000"/>
                <w:sz w:val="24"/>
                <w:szCs w:val="24"/>
                <w:lang w:bidi="he-IL"/>
              </w:rPr>
              <w:t xml:space="preserve"> [Sr</w:t>
            </w:r>
            <w:r w:rsidRPr="00A64DD0">
              <w:rPr>
                <w:rFonts w:ascii="Calibri" w:eastAsia="Times New Roman" w:hAnsi="Calibri" w:cs="Calibri"/>
                <w:color w:val="000000"/>
                <w:sz w:val="24"/>
                <w:szCs w:val="24"/>
                <w:vertAlign w:val="superscript"/>
                <w:lang w:bidi="he-IL"/>
              </w:rPr>
              <w:t>-1</w:t>
            </w:r>
            <w:r>
              <w:rPr>
                <w:rFonts w:ascii="Calibri" w:eastAsia="Times New Roman" w:hAnsi="Calibri" w:cs="Calibri"/>
                <w:color w:val="000000"/>
                <w:sz w:val="24"/>
                <w:szCs w:val="24"/>
                <w:lang w:bidi="he-IL"/>
              </w:rPr>
              <w:t xml:space="preserve"> m</w:t>
            </w:r>
            <w:r w:rsidRPr="00A64DD0">
              <w:rPr>
                <w:rFonts w:ascii="Calibri" w:eastAsia="Times New Roman" w:hAnsi="Calibri" w:cs="Calibri"/>
                <w:color w:val="000000"/>
                <w:sz w:val="24"/>
                <w:szCs w:val="24"/>
                <w:vertAlign w:val="superscript"/>
                <w:lang w:bidi="he-IL"/>
              </w:rPr>
              <w:t>-1</w:t>
            </w:r>
            <w:r>
              <w:rPr>
                <w:rFonts w:ascii="Calibri" w:eastAsia="Times New Roman" w:hAnsi="Calibri" w:cs="Calibri"/>
                <w:color w:val="000000"/>
                <w:sz w:val="24"/>
                <w:szCs w:val="24"/>
                <w:lang w:bidi="he-IL"/>
              </w:rPr>
              <w:t xml:space="preserve"> count</w:t>
            </w:r>
            <w:r w:rsidRPr="00A64DD0">
              <w:rPr>
                <w:rFonts w:ascii="Calibri" w:eastAsia="Times New Roman" w:hAnsi="Calibri" w:cs="Calibri"/>
                <w:color w:val="000000"/>
                <w:sz w:val="24"/>
                <w:szCs w:val="24"/>
                <w:vertAlign w:val="superscript"/>
                <w:lang w:bidi="he-IL"/>
              </w:rPr>
              <w:t>-1</w:t>
            </w:r>
            <w:r>
              <w:rPr>
                <w:rFonts w:ascii="Calibri" w:eastAsia="Times New Roman" w:hAnsi="Calibri" w:cs="Calibri"/>
                <w:color w:val="000000"/>
                <w:sz w:val="24"/>
                <w:szCs w:val="24"/>
                <w:lang w:bidi="he-IL"/>
              </w:rPr>
              <w:t>]</w:t>
            </w:r>
          </w:p>
        </w:tc>
        <w:tc>
          <w:tcPr>
            <w:tcW w:w="922" w:type="dxa"/>
            <w:tcBorders>
              <w:top w:val="nil"/>
              <w:left w:val="nil"/>
              <w:bottom w:val="single" w:sz="4" w:space="0" w:color="auto"/>
              <w:right w:val="single" w:sz="4" w:space="0" w:color="auto"/>
            </w:tcBorders>
            <w:noWrap/>
            <w:vAlign w:val="center"/>
            <w:hideMark/>
          </w:tcPr>
          <w:p w14:paraId="1586605B" w14:textId="693CBBB1" w:rsidR="0006539B" w:rsidRPr="0006539B" w:rsidRDefault="0006539B" w:rsidP="0006539B">
            <w:pPr>
              <w:spacing w:line="240" w:lineRule="auto"/>
              <w:ind w:right="-705"/>
              <w:rPr>
                <w:color w:val="000000" w:themeColor="text1"/>
              </w:rPr>
            </w:pPr>
            <w:r w:rsidRPr="0006539B">
              <w:rPr>
                <w:color w:val="000000" w:themeColor="text1"/>
              </w:rPr>
              <w:t>5.03e-03</w:t>
            </w:r>
          </w:p>
          <w:p w14:paraId="3F5CD8C3" w14:textId="60A7842B" w:rsidR="0006539B" w:rsidRPr="00A64DD0" w:rsidRDefault="0006539B" w:rsidP="0006539B">
            <w:pPr>
              <w:spacing w:after="0" w:line="240" w:lineRule="auto"/>
              <w:jc w:val="center"/>
              <w:rPr>
                <w:rFonts w:ascii="Calibri" w:eastAsia="Times New Roman" w:hAnsi="Calibri" w:cs="Calibri"/>
                <w:color w:val="000000"/>
                <w:sz w:val="24"/>
                <w:szCs w:val="24"/>
                <w:lang w:bidi="he-IL"/>
              </w:rPr>
            </w:pPr>
          </w:p>
        </w:tc>
        <w:tc>
          <w:tcPr>
            <w:tcW w:w="1040" w:type="dxa"/>
            <w:tcBorders>
              <w:top w:val="nil"/>
              <w:left w:val="nil"/>
              <w:bottom w:val="single" w:sz="4" w:space="0" w:color="auto"/>
              <w:right w:val="single" w:sz="4" w:space="0" w:color="auto"/>
            </w:tcBorders>
            <w:noWrap/>
            <w:vAlign w:val="center"/>
            <w:hideMark/>
          </w:tcPr>
          <w:p w14:paraId="67F48761" w14:textId="4F3AE8C5" w:rsidR="0006539B" w:rsidRPr="00A64DD0" w:rsidRDefault="0006539B" w:rsidP="0006539B">
            <w:pPr>
              <w:spacing w:after="0" w:line="240" w:lineRule="auto"/>
              <w:rPr>
                <w:rFonts w:ascii="Calibri" w:eastAsia="Times New Roman" w:hAnsi="Calibri" w:cs="Calibri"/>
                <w:color w:val="000000"/>
                <w:sz w:val="24"/>
                <w:szCs w:val="24"/>
                <w:lang w:bidi="he-IL"/>
              </w:rPr>
            </w:pPr>
            <w:r w:rsidRPr="00CF6A61">
              <w:rPr>
                <w:color w:val="000000" w:themeColor="text1"/>
              </w:rPr>
              <w:t>5.16e-03</w:t>
            </w:r>
          </w:p>
        </w:tc>
        <w:tc>
          <w:tcPr>
            <w:tcW w:w="1120" w:type="dxa"/>
            <w:tcBorders>
              <w:top w:val="nil"/>
              <w:left w:val="nil"/>
              <w:bottom w:val="single" w:sz="4" w:space="0" w:color="auto"/>
              <w:right w:val="single" w:sz="4" w:space="0" w:color="auto"/>
            </w:tcBorders>
            <w:noWrap/>
            <w:vAlign w:val="center"/>
            <w:hideMark/>
          </w:tcPr>
          <w:p w14:paraId="2A990791" w14:textId="4F78D6AA" w:rsidR="0006539B" w:rsidRPr="0006539B" w:rsidRDefault="0006539B" w:rsidP="0006539B">
            <w:pPr>
              <w:spacing w:line="240" w:lineRule="auto"/>
              <w:ind w:right="-705"/>
              <w:rPr>
                <w:color w:val="000000" w:themeColor="text1"/>
              </w:rPr>
            </w:pPr>
            <w:r w:rsidRPr="0006539B">
              <w:rPr>
                <w:color w:val="000000" w:themeColor="text1"/>
              </w:rPr>
              <w:t>5.31e-03</w:t>
            </w:r>
          </w:p>
          <w:p w14:paraId="2AFA8C93" w14:textId="2ACA367C" w:rsidR="0006539B" w:rsidRPr="00A64DD0" w:rsidRDefault="0006539B" w:rsidP="0006539B">
            <w:pPr>
              <w:spacing w:after="0" w:line="240" w:lineRule="auto"/>
              <w:jc w:val="center"/>
              <w:rPr>
                <w:rFonts w:ascii="Calibri" w:eastAsia="Times New Roman" w:hAnsi="Calibri" w:cs="Calibri"/>
                <w:color w:val="000000"/>
                <w:sz w:val="24"/>
                <w:szCs w:val="24"/>
                <w:lang w:bidi="he-IL"/>
              </w:rPr>
            </w:pPr>
          </w:p>
        </w:tc>
        <w:tc>
          <w:tcPr>
            <w:tcW w:w="1171" w:type="dxa"/>
            <w:tcBorders>
              <w:top w:val="nil"/>
              <w:left w:val="nil"/>
              <w:bottom w:val="single" w:sz="4" w:space="0" w:color="auto"/>
              <w:right w:val="single" w:sz="4" w:space="0" w:color="auto"/>
            </w:tcBorders>
            <w:noWrap/>
            <w:vAlign w:val="center"/>
            <w:hideMark/>
          </w:tcPr>
          <w:p w14:paraId="162A95A4" w14:textId="2BB9758E" w:rsidR="0006539B" w:rsidRPr="0006539B" w:rsidRDefault="0006539B" w:rsidP="0006539B">
            <w:pPr>
              <w:spacing w:line="240" w:lineRule="auto"/>
              <w:ind w:right="-705"/>
              <w:rPr>
                <w:color w:val="000000" w:themeColor="text1"/>
              </w:rPr>
            </w:pPr>
            <w:r w:rsidRPr="0006539B">
              <w:rPr>
                <w:color w:val="000000" w:themeColor="text1"/>
              </w:rPr>
              <w:t>5.68e-03</w:t>
            </w:r>
          </w:p>
          <w:p w14:paraId="68EFB24D" w14:textId="3D58E3DE" w:rsidR="0006539B" w:rsidRPr="00A64DD0" w:rsidRDefault="0006539B" w:rsidP="0006539B">
            <w:pPr>
              <w:spacing w:after="0" w:line="240" w:lineRule="auto"/>
              <w:jc w:val="center"/>
              <w:rPr>
                <w:rFonts w:ascii="Calibri" w:eastAsia="Times New Roman" w:hAnsi="Calibri" w:cs="Calibri"/>
                <w:color w:val="000000"/>
                <w:sz w:val="24"/>
                <w:szCs w:val="24"/>
                <w:lang w:bidi="he-IL"/>
              </w:rPr>
            </w:pPr>
          </w:p>
        </w:tc>
        <w:tc>
          <w:tcPr>
            <w:tcW w:w="1134" w:type="dxa"/>
            <w:tcBorders>
              <w:top w:val="nil"/>
              <w:left w:val="nil"/>
              <w:bottom w:val="single" w:sz="4" w:space="0" w:color="auto"/>
              <w:right w:val="single" w:sz="4" w:space="0" w:color="auto"/>
            </w:tcBorders>
            <w:noWrap/>
            <w:vAlign w:val="center"/>
            <w:hideMark/>
          </w:tcPr>
          <w:p w14:paraId="226B6F86" w14:textId="0F8162A4" w:rsidR="0006539B" w:rsidRPr="0006539B" w:rsidRDefault="0006539B" w:rsidP="0006539B">
            <w:pPr>
              <w:spacing w:line="240" w:lineRule="auto"/>
              <w:ind w:right="-705"/>
              <w:rPr>
                <w:color w:val="000000" w:themeColor="text1"/>
              </w:rPr>
            </w:pPr>
            <w:r w:rsidRPr="0006539B">
              <w:rPr>
                <w:color w:val="000000" w:themeColor="text1"/>
              </w:rPr>
              <w:t>6.28e-03</w:t>
            </w:r>
          </w:p>
          <w:p w14:paraId="4E981814" w14:textId="037108CE" w:rsidR="0006539B" w:rsidRPr="00A64DD0" w:rsidRDefault="0006539B" w:rsidP="0006539B">
            <w:pPr>
              <w:spacing w:after="0" w:line="240" w:lineRule="auto"/>
              <w:jc w:val="center"/>
              <w:rPr>
                <w:rFonts w:ascii="Calibri" w:eastAsia="Times New Roman" w:hAnsi="Calibri" w:cs="Calibri"/>
                <w:color w:val="000000"/>
                <w:sz w:val="24"/>
                <w:szCs w:val="24"/>
                <w:lang w:bidi="he-IL"/>
              </w:rPr>
            </w:pPr>
          </w:p>
        </w:tc>
        <w:tc>
          <w:tcPr>
            <w:tcW w:w="1134" w:type="dxa"/>
            <w:tcBorders>
              <w:top w:val="nil"/>
              <w:left w:val="nil"/>
              <w:bottom w:val="single" w:sz="4" w:space="0" w:color="auto"/>
              <w:right w:val="single" w:sz="4" w:space="0" w:color="auto"/>
            </w:tcBorders>
            <w:noWrap/>
            <w:vAlign w:val="center"/>
            <w:hideMark/>
          </w:tcPr>
          <w:p w14:paraId="2ED801F7" w14:textId="4E5EBB6A" w:rsidR="0006539B" w:rsidRPr="0006539B" w:rsidRDefault="0006539B" w:rsidP="0006539B">
            <w:pPr>
              <w:spacing w:line="240" w:lineRule="auto"/>
              <w:ind w:right="-705"/>
              <w:rPr>
                <w:color w:val="000000" w:themeColor="text1"/>
              </w:rPr>
            </w:pPr>
            <w:r w:rsidRPr="0006539B">
              <w:rPr>
                <w:color w:val="000000" w:themeColor="text1"/>
              </w:rPr>
              <w:t>7.13e-03</w:t>
            </w:r>
          </w:p>
          <w:p w14:paraId="3BE08484" w14:textId="7F99156D" w:rsidR="0006539B" w:rsidRPr="00A64DD0" w:rsidRDefault="0006539B" w:rsidP="0006539B">
            <w:pPr>
              <w:spacing w:after="0" w:line="240" w:lineRule="auto"/>
              <w:jc w:val="center"/>
              <w:rPr>
                <w:rFonts w:ascii="Calibri" w:eastAsia="Times New Roman" w:hAnsi="Calibri" w:cs="Calibri"/>
                <w:color w:val="000000"/>
                <w:sz w:val="24"/>
                <w:szCs w:val="24"/>
                <w:lang w:bidi="he-IL"/>
              </w:rPr>
            </w:pPr>
          </w:p>
        </w:tc>
        <w:tc>
          <w:tcPr>
            <w:tcW w:w="1134" w:type="dxa"/>
            <w:tcBorders>
              <w:top w:val="nil"/>
              <w:left w:val="nil"/>
              <w:bottom w:val="single" w:sz="4" w:space="0" w:color="auto"/>
              <w:right w:val="single" w:sz="4" w:space="0" w:color="auto"/>
            </w:tcBorders>
            <w:noWrap/>
            <w:vAlign w:val="center"/>
            <w:hideMark/>
          </w:tcPr>
          <w:p w14:paraId="6B96E3D0" w14:textId="77777777" w:rsidR="0006539B" w:rsidRPr="0006539B" w:rsidRDefault="0006539B" w:rsidP="0006539B">
            <w:pPr>
              <w:spacing w:line="240" w:lineRule="auto"/>
              <w:ind w:right="-705"/>
              <w:rPr>
                <w:color w:val="000000" w:themeColor="text1"/>
              </w:rPr>
            </w:pPr>
            <w:r w:rsidRPr="0006539B">
              <w:rPr>
                <w:color w:val="000000" w:themeColor="text1"/>
              </w:rPr>
              <w:t>8.13e-03</w:t>
            </w:r>
          </w:p>
          <w:p w14:paraId="2F48A035" w14:textId="61894E8A" w:rsidR="0006539B" w:rsidRPr="00A64DD0" w:rsidRDefault="0006539B" w:rsidP="0006539B">
            <w:pPr>
              <w:spacing w:after="0" w:line="240" w:lineRule="auto"/>
              <w:jc w:val="center"/>
              <w:rPr>
                <w:rFonts w:ascii="Calibri" w:eastAsia="Times New Roman" w:hAnsi="Calibri" w:cs="Calibri"/>
                <w:color w:val="000000"/>
                <w:sz w:val="24"/>
                <w:szCs w:val="24"/>
                <w:lang w:bidi="he-IL"/>
              </w:rPr>
            </w:pPr>
          </w:p>
        </w:tc>
        <w:tc>
          <w:tcPr>
            <w:tcW w:w="1134" w:type="dxa"/>
            <w:tcBorders>
              <w:top w:val="nil"/>
              <w:left w:val="nil"/>
              <w:bottom w:val="single" w:sz="4" w:space="0" w:color="auto"/>
              <w:right w:val="single" w:sz="4" w:space="0" w:color="auto"/>
            </w:tcBorders>
            <w:noWrap/>
            <w:vAlign w:val="center"/>
            <w:hideMark/>
          </w:tcPr>
          <w:p w14:paraId="6F058947" w14:textId="77777777" w:rsidR="0006539B" w:rsidRPr="0006539B" w:rsidRDefault="0006539B" w:rsidP="0006539B">
            <w:pPr>
              <w:spacing w:line="240" w:lineRule="auto"/>
              <w:ind w:right="-705"/>
              <w:rPr>
                <w:color w:val="000000" w:themeColor="text1"/>
              </w:rPr>
            </w:pPr>
            <w:r w:rsidRPr="0006539B">
              <w:rPr>
                <w:color w:val="000000" w:themeColor="text1"/>
              </w:rPr>
              <w:t>9.17e-03</w:t>
            </w:r>
          </w:p>
          <w:p w14:paraId="1036EC72" w14:textId="4464EDD9" w:rsidR="0006539B" w:rsidRPr="00A64DD0" w:rsidRDefault="0006539B" w:rsidP="0006539B">
            <w:pPr>
              <w:spacing w:after="0" w:line="240" w:lineRule="auto"/>
              <w:jc w:val="center"/>
              <w:rPr>
                <w:rFonts w:ascii="Calibri" w:eastAsia="Times New Roman" w:hAnsi="Calibri" w:cs="Calibri"/>
                <w:color w:val="000000"/>
                <w:sz w:val="24"/>
                <w:szCs w:val="24"/>
                <w:lang w:bidi="he-IL"/>
              </w:rPr>
            </w:pPr>
          </w:p>
        </w:tc>
        <w:tc>
          <w:tcPr>
            <w:tcW w:w="1134" w:type="dxa"/>
            <w:tcBorders>
              <w:top w:val="nil"/>
              <w:left w:val="nil"/>
              <w:bottom w:val="single" w:sz="4" w:space="0" w:color="auto"/>
              <w:right w:val="single" w:sz="4" w:space="0" w:color="auto"/>
            </w:tcBorders>
            <w:noWrap/>
            <w:vAlign w:val="center"/>
            <w:hideMark/>
          </w:tcPr>
          <w:p w14:paraId="009B717C" w14:textId="77777777" w:rsidR="0006539B" w:rsidRPr="0006539B" w:rsidRDefault="0006539B" w:rsidP="0006539B">
            <w:pPr>
              <w:spacing w:line="240" w:lineRule="auto"/>
              <w:ind w:right="-705"/>
              <w:rPr>
                <w:color w:val="000000" w:themeColor="text1"/>
              </w:rPr>
            </w:pPr>
            <w:r w:rsidRPr="0006539B">
              <w:rPr>
                <w:color w:val="000000" w:themeColor="text1"/>
              </w:rPr>
              <w:t>1.06e-02</w:t>
            </w:r>
          </w:p>
          <w:p w14:paraId="26198711" w14:textId="6A70B34D" w:rsidR="0006539B" w:rsidRPr="00A64DD0" w:rsidRDefault="0006539B" w:rsidP="0006539B">
            <w:pPr>
              <w:spacing w:after="0" w:line="240" w:lineRule="auto"/>
              <w:jc w:val="center"/>
              <w:rPr>
                <w:rFonts w:ascii="Calibri" w:eastAsia="Times New Roman" w:hAnsi="Calibri" w:cs="Calibri"/>
                <w:color w:val="000000"/>
                <w:sz w:val="24"/>
                <w:szCs w:val="24"/>
                <w:lang w:bidi="he-IL"/>
              </w:rPr>
            </w:pPr>
          </w:p>
        </w:tc>
        <w:tc>
          <w:tcPr>
            <w:tcW w:w="1134" w:type="dxa"/>
            <w:tcBorders>
              <w:top w:val="nil"/>
              <w:left w:val="nil"/>
              <w:bottom w:val="single" w:sz="4" w:space="0" w:color="auto"/>
              <w:right w:val="single" w:sz="4" w:space="0" w:color="auto"/>
            </w:tcBorders>
            <w:noWrap/>
            <w:vAlign w:val="center"/>
            <w:hideMark/>
          </w:tcPr>
          <w:p w14:paraId="33A0BF2D" w14:textId="77777777" w:rsidR="0006539B" w:rsidRDefault="0006539B" w:rsidP="0006539B">
            <w:pPr>
              <w:spacing w:line="240" w:lineRule="auto"/>
              <w:ind w:right="-705"/>
              <w:rPr>
                <w:color w:val="000000" w:themeColor="text1"/>
              </w:rPr>
            </w:pPr>
            <w:r w:rsidRPr="0006539B">
              <w:rPr>
                <w:color w:val="000000" w:themeColor="text1"/>
              </w:rPr>
              <w:t>1.30e-02</w:t>
            </w:r>
          </w:p>
          <w:p w14:paraId="3C5F4CC0" w14:textId="2561CA75" w:rsidR="0006539B" w:rsidRPr="00A64DD0" w:rsidRDefault="0006539B" w:rsidP="0006539B">
            <w:pPr>
              <w:spacing w:after="0" w:line="240" w:lineRule="auto"/>
              <w:jc w:val="center"/>
              <w:rPr>
                <w:rFonts w:ascii="Calibri" w:eastAsia="Times New Roman" w:hAnsi="Calibri" w:cs="Calibri"/>
                <w:color w:val="000000"/>
                <w:sz w:val="24"/>
                <w:szCs w:val="24"/>
                <w:lang w:bidi="he-IL"/>
              </w:rPr>
            </w:pPr>
          </w:p>
        </w:tc>
      </w:tr>
    </w:tbl>
    <w:p w14:paraId="1C1009F0" w14:textId="5D46661F" w:rsidR="00A64DD0" w:rsidRDefault="00A64DD0" w:rsidP="00A64DD0">
      <w:pPr>
        <w:spacing w:line="240" w:lineRule="auto"/>
        <w:jc w:val="center"/>
        <w:rPr>
          <w:color w:val="000000" w:themeColor="text1"/>
        </w:rPr>
      </w:pPr>
      <w:r>
        <w:rPr>
          <w:color w:val="000000" w:themeColor="text1"/>
        </w:rPr>
        <w:t>Table 1: calibration coefficients used to compute the VSF from the raw counts based</w:t>
      </w:r>
      <w:r w:rsidR="0006539B">
        <w:rPr>
          <w:color w:val="000000" w:themeColor="text1"/>
        </w:rPr>
        <w:t xml:space="preserve"> on pre-cruise calibration</w:t>
      </w:r>
      <w:r>
        <w:rPr>
          <w:color w:val="000000" w:themeColor="text1"/>
        </w:rPr>
        <w:t>.</w:t>
      </w:r>
    </w:p>
    <w:p w14:paraId="50CB4EFB" w14:textId="65A8D071" w:rsidR="007F66C8" w:rsidRPr="00270402" w:rsidRDefault="00270402" w:rsidP="00CF2AC2">
      <w:pPr>
        <w:spacing w:line="240" w:lineRule="auto"/>
        <w:ind w:right="-705"/>
        <w:rPr>
          <w:b/>
          <w:u w:val="single"/>
        </w:rPr>
      </w:pPr>
      <w:r w:rsidRPr="00270402">
        <w:rPr>
          <w:b/>
          <w:u w:val="single"/>
        </w:rPr>
        <w:t>References:</w:t>
      </w:r>
    </w:p>
    <w:p w14:paraId="1DBD8E1F" w14:textId="77777777" w:rsidR="009F1D6D" w:rsidRPr="00782B5C" w:rsidRDefault="009F1D6D" w:rsidP="009F1D6D">
      <w:pPr>
        <w:pStyle w:val="Bibliography"/>
        <w:rPr>
          <w:rFonts w:cstheme="minorHAnsi"/>
        </w:rPr>
      </w:pPr>
      <w:r w:rsidRPr="00782B5C">
        <w:rPr>
          <w:rFonts w:cstheme="minorHAnsi"/>
        </w:rPr>
        <w:t>Boss E. and W.S. Pegau, 2001. Relationship of light scattering at an angle in the backward direction to the backscattering coefficient. Applied Optics, 40, 5503-5507.</w:t>
      </w:r>
    </w:p>
    <w:p w14:paraId="0FB7A1C7" w14:textId="5D39EB8F" w:rsidR="005C4D3C" w:rsidRPr="00782B5C" w:rsidRDefault="005C4D3C" w:rsidP="009F1D6D">
      <w:pPr>
        <w:pStyle w:val="Bibliography"/>
        <w:rPr>
          <w:rFonts w:cstheme="minorHAnsi"/>
        </w:rPr>
      </w:pPr>
      <w:r w:rsidRPr="00782B5C">
        <w:rPr>
          <w:rFonts w:cstheme="minorHAnsi"/>
        </w:rPr>
        <w:t>Boss, E., Haëntjens, N., Ackleson, S.G., Balch, B., Chase, A., Dall’Olmo, G., Freeman, S., Liu, Y., Loftin, J., Neary, W., Nelson, N., Novak, M., Slade, W.H., Proctor, C., Tortell, P., Westberry, T.K., 2019. Inherent Optical Property Measurements and Protocols: Best Practices for the Collection and Processing of Ship- Based Underway Flow-Through Optical Data (v4.0). IOCCG Protocol Series 4, 17. http://dx.doi.org/10.25607/OBP-458</w:t>
      </w:r>
    </w:p>
    <w:p w14:paraId="43BEE211" w14:textId="3942F411" w:rsidR="009F1D6D" w:rsidRPr="00782B5C" w:rsidRDefault="009F1D6D" w:rsidP="009F1D6D">
      <w:pPr>
        <w:pStyle w:val="Bibliography"/>
        <w:rPr>
          <w:rFonts w:cstheme="minorHAnsi"/>
        </w:rPr>
      </w:pPr>
      <w:r w:rsidRPr="00782B5C">
        <w:rPr>
          <w:rFonts w:cstheme="minorHAnsi"/>
        </w:rPr>
        <w:t xml:space="preserve">Doxaran, D., Leymarie, E., </w:t>
      </w:r>
      <w:proofErr w:type="gramStart"/>
      <w:r w:rsidRPr="00782B5C">
        <w:rPr>
          <w:rFonts w:cstheme="minorHAnsi"/>
        </w:rPr>
        <w:t>Nechad,B.,  Dogliotti</w:t>
      </w:r>
      <w:proofErr w:type="gramEnd"/>
      <w:r w:rsidRPr="00782B5C">
        <w:rPr>
          <w:rFonts w:cstheme="minorHAnsi"/>
        </w:rPr>
        <w:t>, A., Ruddick, K., Gernez, P. and E. Knaeps, 2016. Improved correction methods for field measurements of particulate light backscattering in turbid waters, Opt. Express 24, 3615-3637.</w:t>
      </w:r>
    </w:p>
    <w:p w14:paraId="51063581" w14:textId="5ECEEF4A" w:rsidR="005C4D3C" w:rsidRPr="00782B5C" w:rsidRDefault="005C4D3C" w:rsidP="009F1D6D">
      <w:pPr>
        <w:pStyle w:val="Bibliography"/>
        <w:rPr>
          <w:rFonts w:cstheme="minorHAnsi"/>
        </w:rPr>
      </w:pPr>
      <w:r w:rsidRPr="00782B5C">
        <w:rPr>
          <w:rFonts w:cstheme="minorHAnsi"/>
        </w:rPr>
        <w:t>Sullivan, J.M., Twardowski, M.S., Ronald, J., Zaneveld, V., Moore, C.C., 2013. Measuring optical backscattering in water, in: Light Scattering Reviews 7. Springer Berlin Heidelberg, Berlin, Heidelberg, pp. 189–224. https://doi.org/10.1007/978-3-642-21907-8_6</w:t>
      </w:r>
    </w:p>
    <w:p w14:paraId="65B22834" w14:textId="77777777" w:rsidR="00782B5C" w:rsidRPr="00782B5C" w:rsidRDefault="00782B5C" w:rsidP="00A64DD0">
      <w:pPr>
        <w:rPr>
          <w:rFonts w:cstheme="minorHAnsi"/>
        </w:rPr>
      </w:pPr>
      <w:r w:rsidRPr="00782B5C">
        <w:rPr>
          <w:rFonts w:cstheme="minorHAnsi"/>
        </w:rPr>
        <w:t>Zhang, X., Hu, L., and He, M.-X.: Scattering by pure seawater: Effect of salinity, Opt. Express, 17, 5698, https://doi.org/10.1364/OE.17.005698, 2009.</w:t>
      </w:r>
    </w:p>
    <w:p w14:paraId="69762984" w14:textId="558836FB" w:rsidR="00A64DD0" w:rsidRPr="00782B5C" w:rsidRDefault="00A64DD0" w:rsidP="00A64DD0">
      <w:pPr>
        <w:rPr>
          <w:rFonts w:cstheme="minorHAnsi"/>
        </w:rPr>
      </w:pPr>
      <w:r w:rsidRPr="00782B5C">
        <w:rPr>
          <w:rFonts w:cstheme="minorHAnsi"/>
        </w:rPr>
        <w:t xml:space="preserve">Zhang, </w:t>
      </w:r>
      <w:proofErr w:type="gramStart"/>
      <w:r w:rsidRPr="00782B5C">
        <w:rPr>
          <w:rFonts w:cstheme="minorHAnsi"/>
        </w:rPr>
        <w:t>X. ,</w:t>
      </w:r>
      <w:proofErr w:type="gramEnd"/>
      <w:r w:rsidRPr="00782B5C">
        <w:rPr>
          <w:rFonts w:cstheme="minorHAnsi"/>
        </w:rPr>
        <w:t xml:space="preserve"> Hu, L., Gray, D. and Xiong, Y. 2021. Shape of particle backscattering in the North Pacific Ocean: the χ factor, Appl. Opt. 60, 1260-1266.</w:t>
      </w:r>
    </w:p>
    <w:p w14:paraId="6907C001" w14:textId="26C05FE6" w:rsidR="00880DF5" w:rsidRPr="00782B5C" w:rsidRDefault="002410FB" w:rsidP="00782B5C">
      <w:pPr>
        <w:rPr>
          <w:rFonts w:cstheme="minorHAnsi"/>
        </w:rPr>
      </w:pPr>
      <w:r w:rsidRPr="00782B5C">
        <w:rPr>
          <w:rFonts w:cstheme="minorHAnsi"/>
        </w:rPr>
        <w:t>Zhang, X., E. Leymarie, E. Boss, and L. Hu, 2021, Deriving the angular response function for backscattering sensors, Appl. Opt. 60, 8676-8687.</w:t>
      </w:r>
    </w:p>
    <w:sectPr w:rsidR="00880DF5" w:rsidRPr="00782B5C" w:rsidSect="007F66C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enlo">
    <w:panose1 w:val="020B0609030804020204"/>
    <w:charset w:val="00"/>
    <w:family w:val="modern"/>
    <w:pitch w:val="fixed"/>
    <w:sig w:usb0="E60022FF" w:usb1="D200F9FB" w:usb2="02000028" w:usb3="00000000" w:csb0="000001D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1E5C"/>
    <w:multiLevelType w:val="hybridMultilevel"/>
    <w:tmpl w:val="47702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9112FA"/>
    <w:multiLevelType w:val="hybridMultilevel"/>
    <w:tmpl w:val="9412F4B4"/>
    <w:lvl w:ilvl="0" w:tplc="0E66B8A8">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61182"/>
    <w:multiLevelType w:val="hybridMultilevel"/>
    <w:tmpl w:val="290402F0"/>
    <w:lvl w:ilvl="0" w:tplc="6FE2A5E0">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990723">
    <w:abstractNumId w:val="1"/>
  </w:num>
  <w:num w:numId="2" w16cid:durableId="1110706483">
    <w:abstractNumId w:val="0"/>
  </w:num>
  <w:num w:numId="3" w16cid:durableId="173224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77"/>
    <w:rsid w:val="000254CC"/>
    <w:rsid w:val="00045244"/>
    <w:rsid w:val="00046E66"/>
    <w:rsid w:val="000533EB"/>
    <w:rsid w:val="0006539B"/>
    <w:rsid w:val="000B59A5"/>
    <w:rsid w:val="000E7BC2"/>
    <w:rsid w:val="00120984"/>
    <w:rsid w:val="00124293"/>
    <w:rsid w:val="00131767"/>
    <w:rsid w:val="00131D7D"/>
    <w:rsid w:val="00152EE2"/>
    <w:rsid w:val="00187173"/>
    <w:rsid w:val="00195C45"/>
    <w:rsid w:val="001D1583"/>
    <w:rsid w:val="001E0BEC"/>
    <w:rsid w:val="00223C70"/>
    <w:rsid w:val="00226F13"/>
    <w:rsid w:val="002401DF"/>
    <w:rsid w:val="002410FB"/>
    <w:rsid w:val="00254FB1"/>
    <w:rsid w:val="00270402"/>
    <w:rsid w:val="00274A5E"/>
    <w:rsid w:val="002B1168"/>
    <w:rsid w:val="002B18B9"/>
    <w:rsid w:val="002C5589"/>
    <w:rsid w:val="00300C06"/>
    <w:rsid w:val="00337FA3"/>
    <w:rsid w:val="00360540"/>
    <w:rsid w:val="00370A74"/>
    <w:rsid w:val="00387477"/>
    <w:rsid w:val="003C435E"/>
    <w:rsid w:val="003D1176"/>
    <w:rsid w:val="003F77BD"/>
    <w:rsid w:val="004231A9"/>
    <w:rsid w:val="00453056"/>
    <w:rsid w:val="004744CC"/>
    <w:rsid w:val="00487D7E"/>
    <w:rsid w:val="004973C9"/>
    <w:rsid w:val="004A5EC5"/>
    <w:rsid w:val="004B3998"/>
    <w:rsid w:val="004D09F1"/>
    <w:rsid w:val="004F0BB3"/>
    <w:rsid w:val="005136BE"/>
    <w:rsid w:val="0053017E"/>
    <w:rsid w:val="005942D4"/>
    <w:rsid w:val="005A3A97"/>
    <w:rsid w:val="005A6F12"/>
    <w:rsid w:val="005B5E02"/>
    <w:rsid w:val="005C4D3C"/>
    <w:rsid w:val="005D388F"/>
    <w:rsid w:val="005D4A7B"/>
    <w:rsid w:val="005E6459"/>
    <w:rsid w:val="005F2543"/>
    <w:rsid w:val="005F4117"/>
    <w:rsid w:val="005F68F4"/>
    <w:rsid w:val="00616290"/>
    <w:rsid w:val="00630D34"/>
    <w:rsid w:val="00632D0C"/>
    <w:rsid w:val="00645D09"/>
    <w:rsid w:val="0066111F"/>
    <w:rsid w:val="00663077"/>
    <w:rsid w:val="00664220"/>
    <w:rsid w:val="00677779"/>
    <w:rsid w:val="006D089B"/>
    <w:rsid w:val="006D11D3"/>
    <w:rsid w:val="006D131E"/>
    <w:rsid w:val="006D3EDC"/>
    <w:rsid w:val="006E1D7E"/>
    <w:rsid w:val="006F197A"/>
    <w:rsid w:val="006F395E"/>
    <w:rsid w:val="00705678"/>
    <w:rsid w:val="00706AE2"/>
    <w:rsid w:val="0072279F"/>
    <w:rsid w:val="00732179"/>
    <w:rsid w:val="00733112"/>
    <w:rsid w:val="00736AA3"/>
    <w:rsid w:val="00743D85"/>
    <w:rsid w:val="0074759C"/>
    <w:rsid w:val="007511E2"/>
    <w:rsid w:val="007574B5"/>
    <w:rsid w:val="00773FD4"/>
    <w:rsid w:val="00782B5C"/>
    <w:rsid w:val="00782D90"/>
    <w:rsid w:val="007923D9"/>
    <w:rsid w:val="00793C5F"/>
    <w:rsid w:val="00797B90"/>
    <w:rsid w:val="007A00C5"/>
    <w:rsid w:val="007C6AC3"/>
    <w:rsid w:val="007F66C8"/>
    <w:rsid w:val="007F722B"/>
    <w:rsid w:val="00827B33"/>
    <w:rsid w:val="00857E3D"/>
    <w:rsid w:val="00880DF5"/>
    <w:rsid w:val="008825C3"/>
    <w:rsid w:val="0088314E"/>
    <w:rsid w:val="008927B1"/>
    <w:rsid w:val="008967D2"/>
    <w:rsid w:val="008B1527"/>
    <w:rsid w:val="008B4590"/>
    <w:rsid w:val="008C4211"/>
    <w:rsid w:val="008D03B5"/>
    <w:rsid w:val="00910445"/>
    <w:rsid w:val="00913492"/>
    <w:rsid w:val="00922BCD"/>
    <w:rsid w:val="00952698"/>
    <w:rsid w:val="00963048"/>
    <w:rsid w:val="00983CF5"/>
    <w:rsid w:val="009870A8"/>
    <w:rsid w:val="00992DD6"/>
    <w:rsid w:val="009C1C74"/>
    <w:rsid w:val="009C66A2"/>
    <w:rsid w:val="009E0333"/>
    <w:rsid w:val="009E4C56"/>
    <w:rsid w:val="009F1D6D"/>
    <w:rsid w:val="00A00DB8"/>
    <w:rsid w:val="00A04BFD"/>
    <w:rsid w:val="00A07AFE"/>
    <w:rsid w:val="00A07DE4"/>
    <w:rsid w:val="00A07F15"/>
    <w:rsid w:val="00A35B8D"/>
    <w:rsid w:val="00A603C0"/>
    <w:rsid w:val="00A64DD0"/>
    <w:rsid w:val="00A85574"/>
    <w:rsid w:val="00A86A97"/>
    <w:rsid w:val="00A87E0B"/>
    <w:rsid w:val="00A911C7"/>
    <w:rsid w:val="00AA6BAE"/>
    <w:rsid w:val="00AA6D96"/>
    <w:rsid w:val="00AC169C"/>
    <w:rsid w:val="00AC246A"/>
    <w:rsid w:val="00AC3A03"/>
    <w:rsid w:val="00AC3EC1"/>
    <w:rsid w:val="00AF51C1"/>
    <w:rsid w:val="00B04523"/>
    <w:rsid w:val="00B4441A"/>
    <w:rsid w:val="00B4710E"/>
    <w:rsid w:val="00B55C4C"/>
    <w:rsid w:val="00B614DB"/>
    <w:rsid w:val="00B96A93"/>
    <w:rsid w:val="00B97E62"/>
    <w:rsid w:val="00BD0B5B"/>
    <w:rsid w:val="00BE00C8"/>
    <w:rsid w:val="00BF36EA"/>
    <w:rsid w:val="00C1114F"/>
    <w:rsid w:val="00C37C97"/>
    <w:rsid w:val="00C4291F"/>
    <w:rsid w:val="00C45BF7"/>
    <w:rsid w:val="00C474DE"/>
    <w:rsid w:val="00C7658D"/>
    <w:rsid w:val="00C800B4"/>
    <w:rsid w:val="00C80EE2"/>
    <w:rsid w:val="00C84CB4"/>
    <w:rsid w:val="00C86946"/>
    <w:rsid w:val="00C95254"/>
    <w:rsid w:val="00CC2870"/>
    <w:rsid w:val="00CC4295"/>
    <w:rsid w:val="00CD49FE"/>
    <w:rsid w:val="00CF07FD"/>
    <w:rsid w:val="00CF2AC2"/>
    <w:rsid w:val="00CF37EB"/>
    <w:rsid w:val="00D03CA5"/>
    <w:rsid w:val="00D063EC"/>
    <w:rsid w:val="00D1495E"/>
    <w:rsid w:val="00D26093"/>
    <w:rsid w:val="00D52BE1"/>
    <w:rsid w:val="00D54B2F"/>
    <w:rsid w:val="00D96857"/>
    <w:rsid w:val="00DA48A0"/>
    <w:rsid w:val="00DC17AF"/>
    <w:rsid w:val="00DC37A2"/>
    <w:rsid w:val="00DD1B05"/>
    <w:rsid w:val="00E16435"/>
    <w:rsid w:val="00E2516D"/>
    <w:rsid w:val="00E53C1F"/>
    <w:rsid w:val="00E96993"/>
    <w:rsid w:val="00EA06EF"/>
    <w:rsid w:val="00EA2BE0"/>
    <w:rsid w:val="00EB0EB5"/>
    <w:rsid w:val="00F14D5D"/>
    <w:rsid w:val="00F57E22"/>
    <w:rsid w:val="00F6747F"/>
    <w:rsid w:val="00F74ADE"/>
    <w:rsid w:val="00F825EC"/>
    <w:rsid w:val="00FA2A3C"/>
    <w:rsid w:val="00FA7D90"/>
    <w:rsid w:val="00FB1A30"/>
    <w:rsid w:val="00FB2DCC"/>
    <w:rsid w:val="00FB649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8A30"/>
  <w15:chartTrackingRefBased/>
  <w15:docId w15:val="{A4324E5D-B37B-4079-8BF0-6382B6DA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69C"/>
    <w:rPr>
      <w:color w:val="0563C1" w:themeColor="hyperlink"/>
      <w:u w:val="single"/>
    </w:rPr>
  </w:style>
  <w:style w:type="paragraph" w:styleId="BalloonText">
    <w:name w:val="Balloon Text"/>
    <w:basedOn w:val="Normal"/>
    <w:link w:val="BalloonTextChar"/>
    <w:uiPriority w:val="99"/>
    <w:semiHidden/>
    <w:unhideWhenUsed/>
    <w:rsid w:val="00880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DF5"/>
    <w:rPr>
      <w:rFonts w:ascii="Segoe UI" w:hAnsi="Segoe UI" w:cs="Segoe UI"/>
      <w:sz w:val="18"/>
      <w:szCs w:val="18"/>
    </w:rPr>
  </w:style>
  <w:style w:type="paragraph" w:styleId="Bibliography">
    <w:name w:val="Bibliography"/>
    <w:basedOn w:val="Normal"/>
    <w:next w:val="Normal"/>
    <w:uiPriority w:val="37"/>
    <w:unhideWhenUsed/>
    <w:rsid w:val="00270402"/>
    <w:pPr>
      <w:spacing w:after="0" w:line="240" w:lineRule="auto"/>
      <w:ind w:left="720" w:hanging="720"/>
    </w:pPr>
  </w:style>
  <w:style w:type="table" w:styleId="PlainTable3">
    <w:name w:val="Plain Table 3"/>
    <w:basedOn w:val="TableNormal"/>
    <w:uiPriority w:val="43"/>
    <w:rsid w:val="005F68F4"/>
    <w:pPr>
      <w:spacing w:after="0" w:line="240" w:lineRule="auto"/>
    </w:pPr>
    <w:rPr>
      <w:rFonts w:ascii="Times New Roman" w:hAnsi="Times New Roman" w:cs="Times New Roman"/>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D03CA5"/>
    <w:rPr>
      <w:color w:val="605E5C"/>
      <w:shd w:val="clear" w:color="auto" w:fill="E1DFDD"/>
    </w:rPr>
  </w:style>
  <w:style w:type="character" w:styleId="FollowedHyperlink">
    <w:name w:val="FollowedHyperlink"/>
    <w:basedOn w:val="DefaultParagraphFont"/>
    <w:uiPriority w:val="99"/>
    <w:semiHidden/>
    <w:unhideWhenUsed/>
    <w:rsid w:val="00D03CA5"/>
    <w:rPr>
      <w:color w:val="954F72" w:themeColor="followedHyperlink"/>
      <w:u w:val="single"/>
    </w:rPr>
  </w:style>
  <w:style w:type="character" w:styleId="CommentReference">
    <w:name w:val="annotation reference"/>
    <w:basedOn w:val="DefaultParagraphFont"/>
    <w:uiPriority w:val="99"/>
    <w:semiHidden/>
    <w:unhideWhenUsed/>
    <w:rsid w:val="00A07AFE"/>
    <w:rPr>
      <w:sz w:val="16"/>
      <w:szCs w:val="16"/>
    </w:rPr>
  </w:style>
  <w:style w:type="paragraph" w:styleId="CommentText">
    <w:name w:val="annotation text"/>
    <w:basedOn w:val="Normal"/>
    <w:link w:val="CommentTextChar"/>
    <w:uiPriority w:val="99"/>
    <w:semiHidden/>
    <w:unhideWhenUsed/>
    <w:rsid w:val="00A07AFE"/>
    <w:pPr>
      <w:spacing w:line="240" w:lineRule="auto"/>
    </w:pPr>
    <w:rPr>
      <w:sz w:val="20"/>
      <w:szCs w:val="20"/>
    </w:rPr>
  </w:style>
  <w:style w:type="character" w:customStyle="1" w:styleId="CommentTextChar">
    <w:name w:val="Comment Text Char"/>
    <w:basedOn w:val="DefaultParagraphFont"/>
    <w:link w:val="CommentText"/>
    <w:uiPriority w:val="99"/>
    <w:semiHidden/>
    <w:rsid w:val="00A07AFE"/>
    <w:rPr>
      <w:sz w:val="20"/>
      <w:szCs w:val="20"/>
    </w:rPr>
  </w:style>
  <w:style w:type="paragraph" w:styleId="CommentSubject">
    <w:name w:val="annotation subject"/>
    <w:basedOn w:val="CommentText"/>
    <w:next w:val="CommentText"/>
    <w:link w:val="CommentSubjectChar"/>
    <w:uiPriority w:val="99"/>
    <w:semiHidden/>
    <w:unhideWhenUsed/>
    <w:rsid w:val="00A07AFE"/>
    <w:rPr>
      <w:b/>
      <w:bCs/>
    </w:rPr>
  </w:style>
  <w:style w:type="character" w:customStyle="1" w:styleId="CommentSubjectChar">
    <w:name w:val="Comment Subject Char"/>
    <w:basedOn w:val="CommentTextChar"/>
    <w:link w:val="CommentSubject"/>
    <w:uiPriority w:val="99"/>
    <w:semiHidden/>
    <w:rsid w:val="00A07AFE"/>
    <w:rPr>
      <w:b/>
      <w:bCs/>
      <w:sz w:val="20"/>
      <w:szCs w:val="20"/>
    </w:rPr>
  </w:style>
  <w:style w:type="paragraph" w:styleId="ListParagraph">
    <w:name w:val="List Paragraph"/>
    <w:basedOn w:val="Normal"/>
    <w:uiPriority w:val="34"/>
    <w:qFormat/>
    <w:rsid w:val="00D063EC"/>
    <w:pPr>
      <w:ind w:left="720"/>
      <w:contextualSpacing/>
    </w:pPr>
  </w:style>
  <w:style w:type="paragraph" w:styleId="Revision">
    <w:name w:val="Revision"/>
    <w:hidden/>
    <w:uiPriority w:val="99"/>
    <w:semiHidden/>
    <w:rsid w:val="009C1C74"/>
    <w:pPr>
      <w:spacing w:after="0" w:line="240" w:lineRule="auto"/>
    </w:pPr>
  </w:style>
  <w:style w:type="character" w:styleId="PlaceholderText">
    <w:name w:val="Placeholder Text"/>
    <w:basedOn w:val="DefaultParagraphFont"/>
    <w:uiPriority w:val="99"/>
    <w:semiHidden/>
    <w:rsid w:val="005136B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3435">
      <w:bodyDiv w:val="1"/>
      <w:marLeft w:val="0"/>
      <w:marRight w:val="0"/>
      <w:marTop w:val="0"/>
      <w:marBottom w:val="0"/>
      <w:divBdr>
        <w:top w:val="none" w:sz="0" w:space="0" w:color="auto"/>
        <w:left w:val="none" w:sz="0" w:space="0" w:color="auto"/>
        <w:bottom w:val="none" w:sz="0" w:space="0" w:color="auto"/>
        <w:right w:val="none" w:sz="0" w:space="0" w:color="auto"/>
      </w:divBdr>
      <w:divsChild>
        <w:div w:id="1215317047">
          <w:marLeft w:val="0"/>
          <w:marRight w:val="0"/>
          <w:marTop w:val="0"/>
          <w:marBottom w:val="0"/>
          <w:divBdr>
            <w:top w:val="none" w:sz="0" w:space="0" w:color="auto"/>
            <w:left w:val="none" w:sz="0" w:space="0" w:color="auto"/>
            <w:bottom w:val="none" w:sz="0" w:space="0" w:color="auto"/>
            <w:right w:val="none" w:sz="0" w:space="0" w:color="auto"/>
          </w:divBdr>
          <w:divsChild>
            <w:div w:id="17298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47031">
      <w:bodyDiv w:val="1"/>
      <w:marLeft w:val="0"/>
      <w:marRight w:val="0"/>
      <w:marTop w:val="0"/>
      <w:marBottom w:val="0"/>
      <w:divBdr>
        <w:top w:val="none" w:sz="0" w:space="0" w:color="auto"/>
        <w:left w:val="none" w:sz="0" w:space="0" w:color="auto"/>
        <w:bottom w:val="none" w:sz="0" w:space="0" w:color="auto"/>
        <w:right w:val="none" w:sz="0" w:space="0" w:color="auto"/>
      </w:divBdr>
    </w:div>
    <w:div w:id="471099708">
      <w:bodyDiv w:val="1"/>
      <w:marLeft w:val="0"/>
      <w:marRight w:val="0"/>
      <w:marTop w:val="0"/>
      <w:marBottom w:val="0"/>
      <w:divBdr>
        <w:top w:val="none" w:sz="0" w:space="0" w:color="auto"/>
        <w:left w:val="none" w:sz="0" w:space="0" w:color="auto"/>
        <w:bottom w:val="none" w:sz="0" w:space="0" w:color="auto"/>
        <w:right w:val="none" w:sz="0" w:space="0" w:color="auto"/>
      </w:divBdr>
      <w:divsChild>
        <w:div w:id="2139103992">
          <w:marLeft w:val="0"/>
          <w:marRight w:val="0"/>
          <w:marTop w:val="0"/>
          <w:marBottom w:val="0"/>
          <w:divBdr>
            <w:top w:val="none" w:sz="0" w:space="0" w:color="auto"/>
            <w:left w:val="none" w:sz="0" w:space="0" w:color="auto"/>
            <w:bottom w:val="none" w:sz="0" w:space="0" w:color="auto"/>
            <w:right w:val="none" w:sz="0" w:space="0" w:color="auto"/>
          </w:divBdr>
          <w:divsChild>
            <w:div w:id="10311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2584">
      <w:bodyDiv w:val="1"/>
      <w:marLeft w:val="0"/>
      <w:marRight w:val="0"/>
      <w:marTop w:val="0"/>
      <w:marBottom w:val="0"/>
      <w:divBdr>
        <w:top w:val="none" w:sz="0" w:space="0" w:color="auto"/>
        <w:left w:val="none" w:sz="0" w:space="0" w:color="auto"/>
        <w:bottom w:val="none" w:sz="0" w:space="0" w:color="auto"/>
        <w:right w:val="none" w:sz="0" w:space="0" w:color="auto"/>
      </w:divBdr>
    </w:div>
    <w:div w:id="178653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OceanOptics/InLineAnalysis/commit/df7246258fcf039a099ffab631ab6218b810cd35" TargetMode="External"/><Relationship Id="rId5" Type="http://schemas.openxmlformats.org/officeDocument/2006/relationships/hyperlink" Target="http://inlinino.readthedocs.i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6</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Bourdin</dc:creator>
  <cp:keywords/>
  <dc:description/>
  <cp:lastModifiedBy>Guillaume Bourdin</cp:lastModifiedBy>
  <cp:revision>15</cp:revision>
  <cp:lastPrinted>2020-02-10T23:59:00Z</cp:lastPrinted>
  <dcterms:created xsi:type="dcterms:W3CDTF">2024-07-15T10:42:00Z</dcterms:created>
  <dcterms:modified xsi:type="dcterms:W3CDTF">2025-08-30T15:24:00Z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id="ZFnJBv1S"/&gt;&lt;style id="http://www.zotero.org/styles/estuarine-coastal-and-shelf-science" hasBibliography="1" bibliographyStyleHasBeenSet="1"/&gt;&lt;prefs&gt;&lt;pref name="fieldType" value="Field"/&gt;&lt;/prefs&gt;&lt;</vt:lpwstr>
  </property>
  <property fmtid="{D5CDD505-2E9C-101B-9397-08002B2CF9AE}" pid="3" name="ZOTERO_PREF_2">
    <vt:lpwstr>/data&gt;</vt:lpwstr>
  </property>
</Properties>
</file>