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B4774" w14:textId="77777777" w:rsidR="00493419" w:rsidRPr="00E20D03" w:rsidRDefault="00E20D03" w:rsidP="00E20D03">
      <w:pPr>
        <w:jc w:val="center"/>
        <w:rPr>
          <w:sz w:val="24"/>
          <w:szCs w:val="24"/>
        </w:rPr>
      </w:pPr>
      <w:r w:rsidRPr="00E20D03">
        <w:rPr>
          <w:sz w:val="24"/>
          <w:szCs w:val="24"/>
        </w:rPr>
        <w:t>Processing BB3 data for Tara Polar Circle</w:t>
      </w:r>
    </w:p>
    <w:p w14:paraId="1560F9A5" w14:textId="772B9985" w:rsidR="00E20D03" w:rsidRDefault="00E20D03" w:rsidP="00E20D03">
      <w:pPr>
        <w:jc w:val="center"/>
        <w:rPr>
          <w:sz w:val="24"/>
          <w:szCs w:val="24"/>
        </w:rPr>
      </w:pPr>
      <w:r w:rsidRPr="00E20D03">
        <w:rPr>
          <w:sz w:val="24"/>
          <w:szCs w:val="24"/>
        </w:rPr>
        <w:t>Emmanuel Boss</w:t>
      </w:r>
      <w:r w:rsidR="00DF6674">
        <w:rPr>
          <w:sz w:val="24"/>
          <w:szCs w:val="24"/>
        </w:rPr>
        <w:t xml:space="preserve"> and Alison Chase</w:t>
      </w:r>
      <w:r w:rsidR="00D277AD">
        <w:rPr>
          <w:sz w:val="24"/>
          <w:szCs w:val="24"/>
        </w:rPr>
        <w:t>, University of Maine, Mar 10</w:t>
      </w:r>
      <w:r w:rsidRPr="00E20D03">
        <w:rPr>
          <w:sz w:val="24"/>
          <w:szCs w:val="24"/>
        </w:rPr>
        <w:t>, 2016</w:t>
      </w:r>
    </w:p>
    <w:p w14:paraId="4455F3E0" w14:textId="77777777" w:rsidR="00E20D03" w:rsidRDefault="00E20D03" w:rsidP="00E20D03">
      <w:pPr>
        <w:jc w:val="center"/>
        <w:rPr>
          <w:sz w:val="24"/>
          <w:szCs w:val="24"/>
        </w:rPr>
      </w:pPr>
    </w:p>
    <w:p w14:paraId="3079B669" w14:textId="1E053865" w:rsidR="00E20D03" w:rsidRDefault="00EC19D5" w:rsidP="00E20D03">
      <w:pPr>
        <w:rPr>
          <w:sz w:val="24"/>
          <w:szCs w:val="24"/>
        </w:rPr>
      </w:pPr>
      <w:r>
        <w:rPr>
          <w:sz w:val="24"/>
          <w:szCs w:val="24"/>
        </w:rPr>
        <w:t xml:space="preserve">In this document </w:t>
      </w:r>
      <w:r w:rsidR="00DF6674">
        <w:rPr>
          <w:sz w:val="24"/>
          <w:szCs w:val="24"/>
        </w:rPr>
        <w:t>we</w:t>
      </w:r>
      <w:r w:rsidR="00E20D03">
        <w:rPr>
          <w:sz w:val="24"/>
          <w:szCs w:val="24"/>
        </w:rPr>
        <w:t xml:space="preserve"> provide the methodology for processing the Eco-BB3 data.</w:t>
      </w:r>
    </w:p>
    <w:p w14:paraId="4857B269" w14:textId="7CEDA266" w:rsidR="00E20D03" w:rsidRDefault="00E20D03" w:rsidP="00E20D03">
      <w:pPr>
        <w:rPr>
          <w:sz w:val="24"/>
          <w:szCs w:val="24"/>
        </w:rPr>
      </w:pPr>
      <w:r>
        <w:rPr>
          <w:sz w:val="24"/>
          <w:szCs w:val="24"/>
        </w:rPr>
        <w:t xml:space="preserve">We used two sensors on the Tara: S/N 349 from OSU </w:t>
      </w:r>
      <w:r w:rsidR="00DF6674">
        <w:rPr>
          <w:sz w:val="24"/>
          <w:szCs w:val="24"/>
        </w:rPr>
        <w:t xml:space="preserve">(from Lorient to Quebec City </w:t>
      </w:r>
      <w:r>
        <w:rPr>
          <w:sz w:val="24"/>
          <w:szCs w:val="24"/>
        </w:rPr>
        <w:t xml:space="preserve">and S/N 1093 from LOV (starting in Quebec City). </w:t>
      </w:r>
    </w:p>
    <w:p w14:paraId="67643EEF" w14:textId="77777777" w:rsidR="00E20D03" w:rsidRDefault="00E20D03" w:rsidP="00E20D03">
      <w:pPr>
        <w:rPr>
          <w:sz w:val="24"/>
          <w:szCs w:val="24"/>
        </w:rPr>
      </w:pPr>
    </w:p>
    <w:p w14:paraId="0BCF3A08" w14:textId="77777777" w:rsidR="00E20D03" w:rsidRPr="00E20D03" w:rsidRDefault="00E20D03" w:rsidP="00E20D03">
      <w:pPr>
        <w:rPr>
          <w:b/>
          <w:sz w:val="24"/>
          <w:szCs w:val="24"/>
        </w:rPr>
      </w:pPr>
      <w:r w:rsidRPr="00E20D03">
        <w:rPr>
          <w:b/>
          <w:sz w:val="24"/>
          <w:szCs w:val="24"/>
        </w:rPr>
        <w:t>Calibration</w:t>
      </w:r>
    </w:p>
    <w:p w14:paraId="27F20B44" w14:textId="3EC8FC35" w:rsidR="00E20D03" w:rsidRDefault="00E20D03" w:rsidP="00E20D03">
      <w:pPr>
        <w:rPr>
          <w:sz w:val="24"/>
          <w:szCs w:val="24"/>
        </w:rPr>
      </w:pPr>
      <w:r>
        <w:rPr>
          <w:sz w:val="24"/>
          <w:szCs w:val="24"/>
        </w:rPr>
        <w:t>Precision bead calibration was done for both</w:t>
      </w:r>
      <w:r w:rsidR="005D0898">
        <w:rPr>
          <w:sz w:val="24"/>
          <w:szCs w:val="24"/>
        </w:rPr>
        <w:t xml:space="preserve"> sensors</w:t>
      </w:r>
      <w:r>
        <w:rPr>
          <w:sz w:val="24"/>
          <w:szCs w:val="24"/>
        </w:rPr>
        <w:t xml:space="preserve"> after the cruise (for 349 also before the cruise). From these we obtain the slope factors. </w:t>
      </w:r>
    </w:p>
    <w:p w14:paraId="0BA6F8B0" w14:textId="77777777" w:rsidR="00E20D03" w:rsidRDefault="00E20D03" w:rsidP="00E20D03">
      <w:pPr>
        <w:rPr>
          <w:sz w:val="24"/>
          <w:szCs w:val="24"/>
        </w:rPr>
      </w:pPr>
    </w:p>
    <w:p w14:paraId="1F9F2845" w14:textId="2E77EED6" w:rsidR="00E20D03" w:rsidRDefault="00E20D03" w:rsidP="00E20D03">
      <w:pPr>
        <w:rPr>
          <w:sz w:val="24"/>
          <w:szCs w:val="24"/>
        </w:rPr>
      </w:pPr>
      <w:r>
        <w:rPr>
          <w:sz w:val="24"/>
          <w:szCs w:val="24"/>
        </w:rPr>
        <w:t>Slope factors calibrations tables (</w:t>
      </w:r>
      <w:proofErr w:type="spellStart"/>
      <w:r>
        <w:rPr>
          <w:sz w:val="24"/>
          <w:szCs w:val="24"/>
        </w:rPr>
        <w:t>WETLabs</w:t>
      </w:r>
      <w:proofErr w:type="spellEnd"/>
      <w:r>
        <w:rPr>
          <w:sz w:val="24"/>
          <w:szCs w:val="24"/>
        </w:rPr>
        <w:t>)- SN</w:t>
      </w:r>
      <w:r w:rsidR="005D0898">
        <w:rPr>
          <w:sz w:val="24"/>
          <w:szCs w:val="24"/>
        </w:rPr>
        <w:t xml:space="preserve"> </w:t>
      </w:r>
      <w:r>
        <w:rPr>
          <w:sz w:val="24"/>
          <w:szCs w:val="24"/>
        </w:rPr>
        <w:t>349:</w:t>
      </w:r>
    </w:p>
    <w:tbl>
      <w:tblPr>
        <w:tblStyle w:val="TableGrid"/>
        <w:tblW w:w="7668" w:type="dxa"/>
        <w:tblLook w:val="04A0" w:firstRow="1" w:lastRow="0" w:firstColumn="1" w:lastColumn="0" w:noHBand="0" w:noVBand="1"/>
      </w:tblPr>
      <w:tblGrid>
        <w:gridCol w:w="1392"/>
        <w:gridCol w:w="1353"/>
        <w:gridCol w:w="1329"/>
        <w:gridCol w:w="1223"/>
        <w:gridCol w:w="2371"/>
      </w:tblGrid>
      <w:tr w:rsidR="001E24B7" w14:paraId="12DE0412" w14:textId="77777777" w:rsidTr="00FA27EA">
        <w:tc>
          <w:tcPr>
            <w:tcW w:w="1392" w:type="dxa"/>
          </w:tcPr>
          <w:p w14:paraId="37D8989D" w14:textId="6FBF0D67" w:rsidR="001E24B7" w:rsidRDefault="001E24B7" w:rsidP="00E2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Nominal </w:t>
            </w:r>
            <w:r w:rsidRPr="00E20D03">
              <w:rPr>
                <w:rFonts w:ascii="Symbol" w:hAnsi="Symbol"/>
                <w:sz w:val="24"/>
                <w:szCs w:val="24"/>
              </w:rPr>
              <w:t></w:t>
            </w:r>
            <w:r w:rsidRPr="00E20D03">
              <w:rPr>
                <w:rFonts w:ascii="Symbol" w:hAnsi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/date</w:t>
            </w:r>
          </w:p>
        </w:tc>
        <w:tc>
          <w:tcPr>
            <w:tcW w:w="1353" w:type="dxa"/>
          </w:tcPr>
          <w:p w14:paraId="0B6385B2" w14:textId="77777777" w:rsidR="001E24B7" w:rsidRDefault="001E24B7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03/12/2012</w:t>
            </w:r>
          </w:p>
        </w:tc>
        <w:tc>
          <w:tcPr>
            <w:tcW w:w="1329" w:type="dxa"/>
          </w:tcPr>
          <w:p w14:paraId="040CBC29" w14:textId="77777777" w:rsidR="001E24B7" w:rsidRDefault="001E24B7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12/12/2012</w:t>
            </w:r>
          </w:p>
        </w:tc>
        <w:tc>
          <w:tcPr>
            <w:tcW w:w="1223" w:type="dxa"/>
          </w:tcPr>
          <w:p w14:paraId="6C9C5B3E" w14:textId="6E0E69C9" w:rsidR="001E24B7" w:rsidRDefault="001E24B7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8/19/2015</w:t>
            </w:r>
          </w:p>
        </w:tc>
        <w:tc>
          <w:tcPr>
            <w:tcW w:w="2371" w:type="dxa"/>
          </w:tcPr>
          <w:p w14:paraId="779B10BC" w14:textId="068460AA" w:rsidR="001E24B7" w:rsidRDefault="001E24B7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Mean+/-</w:t>
            </w:r>
            <w:proofErr w:type="spellStart"/>
            <w:r>
              <w:rPr>
                <w:sz w:val="24"/>
                <w:szCs w:val="24"/>
              </w:rPr>
              <w:t>stdev</w:t>
            </w:r>
            <w:proofErr w:type="spellEnd"/>
            <w:r w:rsidR="00FA27EA">
              <w:rPr>
                <w:sz w:val="24"/>
                <w:szCs w:val="24"/>
              </w:rPr>
              <w:t xml:space="preserve"> using only 2012</w:t>
            </w:r>
          </w:p>
        </w:tc>
      </w:tr>
      <w:tr w:rsidR="001E24B7" w14:paraId="09A7FCEE" w14:textId="77777777" w:rsidTr="00FA27EA">
        <w:tc>
          <w:tcPr>
            <w:tcW w:w="1392" w:type="dxa"/>
          </w:tcPr>
          <w:p w14:paraId="6A4EDF1C" w14:textId="77777777" w:rsidR="001E24B7" w:rsidRDefault="001E24B7" w:rsidP="00E2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353" w:type="dxa"/>
          </w:tcPr>
          <w:p w14:paraId="6ED21454" w14:textId="77777777" w:rsidR="001E24B7" w:rsidRPr="00E20D03" w:rsidRDefault="001E24B7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20D03">
              <w:rPr>
                <w:rFonts w:eastAsiaTheme="minorEastAsia"/>
                <w:color w:val="000000"/>
                <w:sz w:val="24"/>
                <w:szCs w:val="24"/>
              </w:rPr>
              <w:t>7.895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1329" w:type="dxa"/>
          </w:tcPr>
          <w:p w14:paraId="0C62CE95" w14:textId="77777777" w:rsidR="001E24B7" w:rsidRPr="00E20D03" w:rsidRDefault="001E24B7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20D03">
              <w:rPr>
                <w:rFonts w:eastAsiaTheme="minorEastAsia"/>
                <w:color w:val="000000"/>
                <w:sz w:val="24"/>
                <w:szCs w:val="24"/>
              </w:rPr>
              <w:t>7.77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1e-6</w:t>
            </w:r>
          </w:p>
        </w:tc>
        <w:tc>
          <w:tcPr>
            <w:tcW w:w="1223" w:type="dxa"/>
          </w:tcPr>
          <w:p w14:paraId="5AC8B68E" w14:textId="39FD4532" w:rsidR="001E24B7" w:rsidRDefault="001E24B7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9.032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2371" w:type="dxa"/>
            <w:vAlign w:val="bottom"/>
          </w:tcPr>
          <w:p w14:paraId="459BEB8B" w14:textId="2587C14E" w:rsidR="001E24B7" w:rsidRPr="00DF6674" w:rsidRDefault="00E07DB5" w:rsidP="005D089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7.83</w:t>
            </w:r>
            <w:r w:rsidR="00FA27EA">
              <w:rPr>
                <w:rFonts w:eastAsia="Times New Roman"/>
                <w:color w:val="000000"/>
                <w:sz w:val="24"/>
                <w:szCs w:val="24"/>
              </w:rPr>
              <w:t>+/-0.09</w:t>
            </w:r>
            <w:r w:rsidR="001E24B7" w:rsidRPr="00DF6674">
              <w:rPr>
                <w:rFonts w:eastAsia="Times New Roman"/>
                <w:color w:val="000000"/>
                <w:sz w:val="24"/>
                <w:szCs w:val="24"/>
              </w:rPr>
              <w:t>E-06</w:t>
            </w:r>
          </w:p>
        </w:tc>
      </w:tr>
      <w:tr w:rsidR="001E24B7" w14:paraId="2EB4391D" w14:textId="77777777" w:rsidTr="00FA27EA">
        <w:tc>
          <w:tcPr>
            <w:tcW w:w="1392" w:type="dxa"/>
          </w:tcPr>
          <w:p w14:paraId="0C9EEA3D" w14:textId="247C1ABD" w:rsidR="001E24B7" w:rsidRDefault="001E24B7" w:rsidP="0079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1353" w:type="dxa"/>
          </w:tcPr>
          <w:p w14:paraId="478CED58" w14:textId="77777777" w:rsidR="001E24B7" w:rsidRPr="00E20D03" w:rsidRDefault="001E24B7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20D03">
              <w:rPr>
                <w:rFonts w:eastAsiaTheme="minorEastAsia"/>
                <w:color w:val="000000"/>
                <w:sz w:val="24"/>
                <w:szCs w:val="24"/>
              </w:rPr>
              <w:t>4.39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2e-6</w:t>
            </w:r>
          </w:p>
        </w:tc>
        <w:tc>
          <w:tcPr>
            <w:tcW w:w="1329" w:type="dxa"/>
          </w:tcPr>
          <w:p w14:paraId="047A11E1" w14:textId="77777777" w:rsidR="001E24B7" w:rsidRPr="00E20D03" w:rsidRDefault="001E24B7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20D03">
              <w:rPr>
                <w:rFonts w:eastAsiaTheme="minorEastAsia"/>
                <w:color w:val="000000"/>
                <w:sz w:val="24"/>
                <w:szCs w:val="24"/>
              </w:rPr>
              <w:t>4.337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1223" w:type="dxa"/>
          </w:tcPr>
          <w:p w14:paraId="4BD8F6AB" w14:textId="44546EB3" w:rsidR="001E24B7" w:rsidRDefault="001E24B7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4.346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2371" w:type="dxa"/>
            <w:vAlign w:val="bottom"/>
          </w:tcPr>
          <w:p w14:paraId="5A0C8E19" w14:textId="3A9F5EE8" w:rsidR="001E24B7" w:rsidRPr="00DF6674" w:rsidRDefault="001E24B7" w:rsidP="005D0898">
            <w:pPr>
              <w:jc w:val="center"/>
              <w:rPr>
                <w:sz w:val="24"/>
                <w:szCs w:val="24"/>
              </w:rPr>
            </w:pPr>
            <w:r w:rsidRPr="00DF6674">
              <w:rPr>
                <w:rFonts w:eastAsia="Times New Roman"/>
                <w:color w:val="000000"/>
                <w:sz w:val="24"/>
                <w:szCs w:val="24"/>
              </w:rPr>
              <w:t>4.36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+/-0.04</w:t>
            </w:r>
            <w:r w:rsidRPr="00DF6674">
              <w:rPr>
                <w:rFonts w:eastAsia="Times New Roman"/>
                <w:color w:val="000000"/>
                <w:sz w:val="24"/>
                <w:szCs w:val="24"/>
              </w:rPr>
              <w:t>E-06</w:t>
            </w:r>
          </w:p>
        </w:tc>
      </w:tr>
      <w:tr w:rsidR="001E24B7" w14:paraId="335C40C4" w14:textId="77777777" w:rsidTr="00FA27EA">
        <w:tc>
          <w:tcPr>
            <w:tcW w:w="1392" w:type="dxa"/>
          </w:tcPr>
          <w:p w14:paraId="52FFD3D1" w14:textId="77777777" w:rsidR="001E24B7" w:rsidRDefault="001E24B7" w:rsidP="00E2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353" w:type="dxa"/>
          </w:tcPr>
          <w:p w14:paraId="3B6DE14D" w14:textId="77777777" w:rsidR="001E24B7" w:rsidRPr="00E20D03" w:rsidRDefault="001E24B7" w:rsidP="005D0898">
            <w:pPr>
              <w:jc w:val="center"/>
              <w:rPr>
                <w:sz w:val="24"/>
                <w:szCs w:val="24"/>
              </w:rPr>
            </w:pPr>
            <w:r w:rsidRPr="00E20D03">
              <w:rPr>
                <w:sz w:val="24"/>
                <w:szCs w:val="24"/>
              </w:rPr>
              <w:t>2.259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1329" w:type="dxa"/>
          </w:tcPr>
          <w:p w14:paraId="016921CA" w14:textId="77777777" w:rsidR="001E24B7" w:rsidRPr="00E20D03" w:rsidRDefault="001E24B7" w:rsidP="005D0898">
            <w:pPr>
              <w:jc w:val="center"/>
              <w:rPr>
                <w:sz w:val="24"/>
                <w:szCs w:val="24"/>
              </w:rPr>
            </w:pPr>
            <w:r w:rsidRPr="00E20D03">
              <w:rPr>
                <w:sz w:val="24"/>
                <w:szCs w:val="24"/>
              </w:rPr>
              <w:t>3.565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1223" w:type="dxa"/>
          </w:tcPr>
          <w:p w14:paraId="73D3A1A1" w14:textId="76279334" w:rsidR="001E24B7" w:rsidRDefault="001E24B7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3.263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2371" w:type="dxa"/>
            <w:vAlign w:val="bottom"/>
          </w:tcPr>
          <w:p w14:paraId="3941FB8E" w14:textId="6EF56B9E" w:rsidR="001E24B7" w:rsidRPr="00DF6674" w:rsidRDefault="00FA27EA" w:rsidP="005D089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2.91</w:t>
            </w:r>
            <w:r w:rsidR="007D622B">
              <w:rPr>
                <w:rFonts w:eastAsia="Times New Roman"/>
                <w:color w:val="000000"/>
                <w:sz w:val="24"/>
                <w:szCs w:val="24"/>
              </w:rPr>
              <w:t>+/-1.0</w:t>
            </w:r>
            <w:r w:rsidR="001E24B7" w:rsidRPr="00DF6674">
              <w:rPr>
                <w:rFonts w:eastAsia="Times New Roman"/>
                <w:color w:val="000000"/>
                <w:sz w:val="24"/>
                <w:szCs w:val="24"/>
              </w:rPr>
              <w:t>E-06</w:t>
            </w:r>
          </w:p>
        </w:tc>
      </w:tr>
    </w:tbl>
    <w:p w14:paraId="752D7DC2" w14:textId="77777777" w:rsidR="00E20D03" w:rsidRDefault="00E20D03" w:rsidP="00E20D03">
      <w:pPr>
        <w:rPr>
          <w:sz w:val="24"/>
          <w:szCs w:val="24"/>
        </w:rPr>
      </w:pPr>
    </w:p>
    <w:p w14:paraId="6D3E8485" w14:textId="4A126567" w:rsidR="00E20D03" w:rsidRDefault="00E20D03" w:rsidP="00E20D03">
      <w:pPr>
        <w:rPr>
          <w:sz w:val="24"/>
          <w:szCs w:val="24"/>
        </w:rPr>
      </w:pPr>
      <w:r>
        <w:rPr>
          <w:sz w:val="24"/>
          <w:szCs w:val="24"/>
        </w:rPr>
        <w:t>Slope factors calibrations tables (</w:t>
      </w:r>
      <w:proofErr w:type="spellStart"/>
      <w:r>
        <w:rPr>
          <w:sz w:val="24"/>
          <w:szCs w:val="24"/>
        </w:rPr>
        <w:t>WETLabs</w:t>
      </w:r>
      <w:proofErr w:type="spellEnd"/>
      <w:r>
        <w:rPr>
          <w:sz w:val="24"/>
          <w:szCs w:val="24"/>
        </w:rPr>
        <w:t>)- SN</w:t>
      </w:r>
      <w:r w:rsidR="005D0898">
        <w:rPr>
          <w:sz w:val="24"/>
          <w:szCs w:val="24"/>
        </w:rPr>
        <w:t xml:space="preserve"> </w:t>
      </w:r>
      <w:r>
        <w:rPr>
          <w:sz w:val="24"/>
          <w:szCs w:val="24"/>
        </w:rPr>
        <w:t>1093: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1908"/>
        <w:gridCol w:w="2520"/>
        <w:gridCol w:w="2214"/>
        <w:gridCol w:w="2214"/>
      </w:tblGrid>
      <w:tr w:rsidR="00DF6674" w14:paraId="10904964" w14:textId="77777777" w:rsidTr="00DF6674">
        <w:tc>
          <w:tcPr>
            <w:tcW w:w="1908" w:type="dxa"/>
          </w:tcPr>
          <w:p w14:paraId="126EC4B3" w14:textId="77777777" w:rsidR="00DF6674" w:rsidRDefault="00DF6674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Nominal </w:t>
            </w:r>
            <w:r w:rsidRPr="00E20D03">
              <w:rPr>
                <w:rFonts w:ascii="Symbol" w:hAnsi="Symbol"/>
                <w:sz w:val="24"/>
                <w:szCs w:val="24"/>
              </w:rPr>
              <w:t></w:t>
            </w:r>
            <w:r w:rsidRPr="00E20D03">
              <w:rPr>
                <w:rFonts w:ascii="Symbol" w:hAnsi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/date</w:t>
            </w:r>
          </w:p>
        </w:tc>
        <w:tc>
          <w:tcPr>
            <w:tcW w:w="2520" w:type="dxa"/>
          </w:tcPr>
          <w:p w14:paraId="3E7CCD89" w14:textId="77777777" w:rsidR="00DF6674" w:rsidRDefault="00DF6674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11/18/2014</w:t>
            </w:r>
          </w:p>
        </w:tc>
        <w:tc>
          <w:tcPr>
            <w:tcW w:w="2214" w:type="dxa"/>
          </w:tcPr>
          <w:p w14:paraId="6F8BC7F1" w14:textId="7D7066E4" w:rsidR="00DF6674" w:rsidRDefault="00DF6674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2/11/2015</w:t>
            </w:r>
          </w:p>
        </w:tc>
        <w:tc>
          <w:tcPr>
            <w:tcW w:w="2214" w:type="dxa"/>
          </w:tcPr>
          <w:p w14:paraId="54E5D7AF" w14:textId="58548FF1" w:rsidR="00DF6674" w:rsidRDefault="00DF6674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Mean+/-</w:t>
            </w:r>
            <w:proofErr w:type="spellStart"/>
            <w:r>
              <w:rPr>
                <w:sz w:val="24"/>
                <w:szCs w:val="24"/>
              </w:rPr>
              <w:t>stdev</w:t>
            </w:r>
            <w:proofErr w:type="spellEnd"/>
          </w:p>
        </w:tc>
      </w:tr>
      <w:tr w:rsidR="00DF6674" w14:paraId="6D25B613" w14:textId="77777777" w:rsidTr="00865EEF">
        <w:tc>
          <w:tcPr>
            <w:tcW w:w="1908" w:type="dxa"/>
          </w:tcPr>
          <w:p w14:paraId="0A5C3BA0" w14:textId="77777777" w:rsidR="00DF6674" w:rsidRDefault="00DF6674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2520" w:type="dxa"/>
          </w:tcPr>
          <w:p w14:paraId="0F6828BE" w14:textId="77777777" w:rsidR="00DF6674" w:rsidRPr="00E20D03" w:rsidRDefault="00DF667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6.003e-6</w:t>
            </w:r>
          </w:p>
        </w:tc>
        <w:tc>
          <w:tcPr>
            <w:tcW w:w="2214" w:type="dxa"/>
          </w:tcPr>
          <w:p w14:paraId="03C33F6B" w14:textId="5C283DF9" w:rsidR="00DF6674" w:rsidRDefault="00DF667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5.994e-6</w:t>
            </w:r>
          </w:p>
        </w:tc>
        <w:tc>
          <w:tcPr>
            <w:tcW w:w="2214" w:type="dxa"/>
            <w:vAlign w:val="bottom"/>
          </w:tcPr>
          <w:p w14:paraId="29EFBCAB" w14:textId="2ED77EAE" w:rsidR="00DF6674" w:rsidRPr="00DF6674" w:rsidRDefault="00DF667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F6674">
              <w:rPr>
                <w:rFonts w:eastAsia="Times New Roman"/>
                <w:color w:val="000000"/>
                <w:sz w:val="24"/>
                <w:szCs w:val="24"/>
              </w:rPr>
              <w:t>6.00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+/-0.01</w:t>
            </w:r>
            <w:r w:rsidRPr="00DF6674">
              <w:rPr>
                <w:rFonts w:eastAsia="Times New Roman"/>
                <w:color w:val="000000"/>
                <w:sz w:val="24"/>
                <w:szCs w:val="24"/>
              </w:rPr>
              <w:t>E-06</w:t>
            </w:r>
          </w:p>
        </w:tc>
      </w:tr>
      <w:tr w:rsidR="00DF6674" w14:paraId="17EB6017" w14:textId="77777777" w:rsidTr="00865EEF">
        <w:tc>
          <w:tcPr>
            <w:tcW w:w="1908" w:type="dxa"/>
          </w:tcPr>
          <w:p w14:paraId="5AC6DB74" w14:textId="46D1840A" w:rsidR="00DF6674" w:rsidRDefault="00DF6674" w:rsidP="0079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2C82">
              <w:rPr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14:paraId="19DDE85B" w14:textId="77777777" w:rsidR="00DF6674" w:rsidRPr="00E20D03" w:rsidRDefault="00DF667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3.827e-6</w:t>
            </w:r>
          </w:p>
        </w:tc>
        <w:tc>
          <w:tcPr>
            <w:tcW w:w="2214" w:type="dxa"/>
          </w:tcPr>
          <w:p w14:paraId="50762B35" w14:textId="0EDE711F" w:rsidR="00DF6674" w:rsidRDefault="00DF667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3.879e-6</w:t>
            </w:r>
          </w:p>
        </w:tc>
        <w:tc>
          <w:tcPr>
            <w:tcW w:w="2214" w:type="dxa"/>
            <w:vAlign w:val="bottom"/>
          </w:tcPr>
          <w:p w14:paraId="71279E28" w14:textId="1C23965B" w:rsidR="00DF6674" w:rsidRPr="00DF6674" w:rsidRDefault="00DF667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F6674">
              <w:rPr>
                <w:rFonts w:eastAsia="Times New Roman"/>
                <w:color w:val="000000"/>
                <w:sz w:val="24"/>
                <w:szCs w:val="24"/>
              </w:rPr>
              <w:t>3.85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+/-0.04</w:t>
            </w:r>
            <w:r w:rsidRPr="00DF6674">
              <w:rPr>
                <w:rFonts w:eastAsia="Times New Roman"/>
                <w:color w:val="000000"/>
                <w:sz w:val="24"/>
                <w:szCs w:val="24"/>
              </w:rPr>
              <w:t>E-06</w:t>
            </w:r>
          </w:p>
        </w:tc>
      </w:tr>
      <w:tr w:rsidR="00DF6674" w14:paraId="5AE15782" w14:textId="77777777" w:rsidTr="00865EEF">
        <w:tc>
          <w:tcPr>
            <w:tcW w:w="1908" w:type="dxa"/>
          </w:tcPr>
          <w:p w14:paraId="3BD21A10" w14:textId="77777777" w:rsidR="00DF6674" w:rsidRDefault="00DF6674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520" w:type="dxa"/>
          </w:tcPr>
          <w:p w14:paraId="063EAB23" w14:textId="77777777" w:rsidR="00DF6674" w:rsidRPr="00E20D03" w:rsidRDefault="00DF6674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2.088e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-6</w:t>
            </w:r>
          </w:p>
        </w:tc>
        <w:tc>
          <w:tcPr>
            <w:tcW w:w="2214" w:type="dxa"/>
          </w:tcPr>
          <w:p w14:paraId="05C5BDB9" w14:textId="06A668D0" w:rsidR="00DF6674" w:rsidRDefault="00DF6674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1.982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e-6</w:t>
            </w:r>
          </w:p>
        </w:tc>
        <w:tc>
          <w:tcPr>
            <w:tcW w:w="2214" w:type="dxa"/>
            <w:vAlign w:val="bottom"/>
          </w:tcPr>
          <w:p w14:paraId="2D381098" w14:textId="1C4BDCEE" w:rsidR="00DF6674" w:rsidRPr="00DF6674" w:rsidRDefault="00DF6674" w:rsidP="005D0898">
            <w:pPr>
              <w:jc w:val="center"/>
              <w:rPr>
                <w:sz w:val="24"/>
                <w:szCs w:val="24"/>
              </w:rPr>
            </w:pPr>
            <w:r w:rsidRPr="00DF6674">
              <w:rPr>
                <w:rFonts w:eastAsia="Times New Roman"/>
                <w:color w:val="000000"/>
                <w:sz w:val="24"/>
                <w:szCs w:val="24"/>
              </w:rPr>
              <w:t>2.04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+/-0.07</w:t>
            </w:r>
            <w:r w:rsidRPr="00DF6674">
              <w:rPr>
                <w:rFonts w:eastAsia="Times New Roman"/>
                <w:color w:val="000000"/>
                <w:sz w:val="24"/>
                <w:szCs w:val="24"/>
              </w:rPr>
              <w:t>E-06</w:t>
            </w:r>
          </w:p>
        </w:tc>
      </w:tr>
    </w:tbl>
    <w:p w14:paraId="11E6EA39" w14:textId="77777777" w:rsidR="00E20D03" w:rsidRDefault="00E20D03" w:rsidP="00E20D03">
      <w:pPr>
        <w:rPr>
          <w:sz w:val="24"/>
          <w:szCs w:val="24"/>
        </w:rPr>
      </w:pPr>
    </w:p>
    <w:p w14:paraId="62B457EF" w14:textId="7DAD2C83" w:rsidR="00E20D03" w:rsidRDefault="00E20D03" w:rsidP="00E20D03">
      <w:pPr>
        <w:rPr>
          <w:sz w:val="24"/>
          <w:szCs w:val="24"/>
        </w:rPr>
      </w:pPr>
      <w:r>
        <w:rPr>
          <w:sz w:val="24"/>
          <w:szCs w:val="24"/>
        </w:rPr>
        <w:t>Dark offset were determined using a dark tape</w:t>
      </w:r>
      <w:r w:rsidR="008F0450">
        <w:rPr>
          <w:sz w:val="24"/>
          <w:szCs w:val="24"/>
        </w:rPr>
        <w:t xml:space="preserve"> in the casket</w:t>
      </w:r>
      <w:r>
        <w:rPr>
          <w:sz w:val="24"/>
          <w:szCs w:val="24"/>
        </w:rPr>
        <w:t xml:space="preserve"> at Quebec City:</w:t>
      </w:r>
    </w:p>
    <w:tbl>
      <w:tblPr>
        <w:tblStyle w:val="TableGrid"/>
        <w:tblW w:w="6408" w:type="dxa"/>
        <w:tblLayout w:type="fixed"/>
        <w:tblLook w:val="04A0" w:firstRow="1" w:lastRow="0" w:firstColumn="1" w:lastColumn="0" w:noHBand="0" w:noVBand="1"/>
      </w:tblPr>
      <w:tblGrid>
        <w:gridCol w:w="1098"/>
        <w:gridCol w:w="990"/>
        <w:gridCol w:w="1620"/>
        <w:gridCol w:w="1080"/>
        <w:gridCol w:w="1620"/>
      </w:tblGrid>
      <w:tr w:rsidR="004C4B14" w14:paraId="75DA4E0A" w14:textId="7E9DD30A" w:rsidTr="004C4B14">
        <w:trPr>
          <w:trHeight w:val="227"/>
        </w:trPr>
        <w:tc>
          <w:tcPr>
            <w:tcW w:w="1098" w:type="dxa"/>
          </w:tcPr>
          <w:p w14:paraId="3B9E53C0" w14:textId="280FB55B" w:rsidR="008F0450" w:rsidRDefault="008F0450" w:rsidP="008F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Nominal </w:t>
            </w:r>
            <w:r w:rsidRPr="00E20D03">
              <w:rPr>
                <w:rFonts w:ascii="Symbol" w:hAnsi="Symbol"/>
                <w:sz w:val="24"/>
                <w:szCs w:val="24"/>
              </w:rPr>
              <w:t></w:t>
            </w:r>
            <w:r w:rsidRPr="00E20D03">
              <w:rPr>
                <w:rFonts w:ascii="Symbol" w:hAnsi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/sensor</w:t>
            </w:r>
          </w:p>
        </w:tc>
        <w:tc>
          <w:tcPr>
            <w:tcW w:w="990" w:type="dxa"/>
          </w:tcPr>
          <w:p w14:paraId="37FD61A4" w14:textId="3236D3C2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 w:rsidR="004C4B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349</w:t>
            </w:r>
          </w:p>
          <w:p w14:paraId="43FFC41E" w14:textId="0E979AB0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</w:t>
            </w:r>
          </w:p>
        </w:tc>
        <w:tc>
          <w:tcPr>
            <w:tcW w:w="1620" w:type="dxa"/>
          </w:tcPr>
          <w:p w14:paraId="43F5DC3D" w14:textId="7B66CF97" w:rsidR="008F0450" w:rsidRDefault="008F0450" w:rsidP="008F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 w:rsidR="004C4B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349</w:t>
            </w:r>
          </w:p>
          <w:p w14:paraId="461384CC" w14:textId="4A0EE1E8" w:rsidR="008F0450" w:rsidRDefault="008F0450" w:rsidP="008F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Mean+/-</w:t>
            </w:r>
            <w:proofErr w:type="spellStart"/>
            <w:r>
              <w:rPr>
                <w:sz w:val="24"/>
                <w:szCs w:val="24"/>
              </w:rPr>
              <w:t>stdev</w:t>
            </w:r>
            <w:proofErr w:type="spellEnd"/>
          </w:p>
        </w:tc>
        <w:tc>
          <w:tcPr>
            <w:tcW w:w="1080" w:type="dxa"/>
          </w:tcPr>
          <w:p w14:paraId="0F0AF89D" w14:textId="490B99B5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 w:rsidR="004C4B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</w:t>
            </w:r>
          </w:p>
          <w:p w14:paraId="07B619A7" w14:textId="32F06146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</w:t>
            </w:r>
          </w:p>
        </w:tc>
        <w:tc>
          <w:tcPr>
            <w:tcW w:w="1620" w:type="dxa"/>
          </w:tcPr>
          <w:p w14:paraId="3C5C8931" w14:textId="5D14A0B9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 w:rsidR="004C4B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</w:t>
            </w:r>
          </w:p>
          <w:p w14:paraId="7002C83F" w14:textId="4507E81B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Mean+/-</w:t>
            </w:r>
            <w:proofErr w:type="spellStart"/>
            <w:r>
              <w:rPr>
                <w:sz w:val="24"/>
                <w:szCs w:val="24"/>
              </w:rPr>
              <w:t>stdev</w:t>
            </w:r>
            <w:proofErr w:type="spellEnd"/>
          </w:p>
        </w:tc>
      </w:tr>
      <w:tr w:rsidR="004C4B14" w14:paraId="3234C1F0" w14:textId="35C91C03" w:rsidTr="004C4B14">
        <w:trPr>
          <w:trHeight w:val="214"/>
        </w:trPr>
        <w:tc>
          <w:tcPr>
            <w:tcW w:w="1098" w:type="dxa"/>
          </w:tcPr>
          <w:p w14:paraId="52F0BDDB" w14:textId="77777777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990" w:type="dxa"/>
          </w:tcPr>
          <w:p w14:paraId="78B06DDF" w14:textId="6FD55150" w:rsidR="008F0450" w:rsidRPr="00E20D03" w:rsidRDefault="008F0450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0" w:type="dxa"/>
          </w:tcPr>
          <w:p w14:paraId="2373F2C2" w14:textId="24F57110" w:rsidR="008F0450" w:rsidRPr="00E20D03" w:rsidRDefault="008F0450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56.0 +/- 1.6</w:t>
            </w:r>
          </w:p>
        </w:tc>
        <w:tc>
          <w:tcPr>
            <w:tcW w:w="1080" w:type="dxa"/>
          </w:tcPr>
          <w:p w14:paraId="7F447421" w14:textId="22A67430" w:rsidR="008F0450" w:rsidRDefault="00D2090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14:paraId="00281C6A" w14:textId="3D223BAD" w:rsidR="008F0450" w:rsidRDefault="00D2090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50.6+/-1.2</w:t>
            </w:r>
          </w:p>
        </w:tc>
      </w:tr>
      <w:tr w:rsidR="004C4B14" w14:paraId="5F6D0975" w14:textId="1DD6BCE4" w:rsidTr="004C4B14">
        <w:trPr>
          <w:trHeight w:val="214"/>
        </w:trPr>
        <w:tc>
          <w:tcPr>
            <w:tcW w:w="1098" w:type="dxa"/>
          </w:tcPr>
          <w:p w14:paraId="2D00D647" w14:textId="1476CF78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2C82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14:paraId="14291D37" w14:textId="602E250A" w:rsidR="008F0450" w:rsidRPr="00E20D03" w:rsidRDefault="008F0450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20" w:type="dxa"/>
          </w:tcPr>
          <w:p w14:paraId="08527C09" w14:textId="509FEA6A" w:rsidR="008F0450" w:rsidRPr="00E20D03" w:rsidRDefault="008F0450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56.8+/-</w:t>
            </w:r>
            <w:r w:rsidR="005D089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80" w:type="dxa"/>
          </w:tcPr>
          <w:p w14:paraId="52193B03" w14:textId="0BBEB1DA" w:rsidR="008F0450" w:rsidRDefault="00D2090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14:paraId="2CF9D58E" w14:textId="0186CFD7" w:rsidR="008F0450" w:rsidRDefault="00D20904" w:rsidP="005D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22.4+/-3.2</w:t>
            </w:r>
          </w:p>
        </w:tc>
      </w:tr>
      <w:tr w:rsidR="004C4B14" w14:paraId="04919C3B" w14:textId="07827EE8" w:rsidTr="004C4B14">
        <w:trPr>
          <w:trHeight w:val="227"/>
        </w:trPr>
        <w:tc>
          <w:tcPr>
            <w:tcW w:w="1098" w:type="dxa"/>
          </w:tcPr>
          <w:p w14:paraId="7510C370" w14:textId="77777777" w:rsidR="008F0450" w:rsidRDefault="008F0450" w:rsidP="0086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990" w:type="dxa"/>
          </w:tcPr>
          <w:p w14:paraId="1F269C25" w14:textId="4278E5B9" w:rsidR="008F0450" w:rsidRPr="00E20D03" w:rsidRDefault="008F0450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20" w:type="dxa"/>
          </w:tcPr>
          <w:p w14:paraId="2741060B" w14:textId="21F0D068" w:rsidR="008F0450" w:rsidRPr="00E20D03" w:rsidRDefault="008F0450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36.4+/-</w:t>
            </w:r>
            <w:r w:rsidR="005D08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7.4</w:t>
            </w:r>
          </w:p>
        </w:tc>
        <w:tc>
          <w:tcPr>
            <w:tcW w:w="1080" w:type="dxa"/>
          </w:tcPr>
          <w:p w14:paraId="344B4759" w14:textId="79807F04" w:rsidR="008F0450" w:rsidRDefault="00D277AD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0904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6FCFC98" w14:textId="0EF3DD7F" w:rsidR="008F0450" w:rsidRDefault="00D20904" w:rsidP="005D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35.0+/-2.9</w:t>
            </w:r>
          </w:p>
        </w:tc>
      </w:tr>
    </w:tbl>
    <w:p w14:paraId="06FFE4FE" w14:textId="77777777" w:rsidR="00D20904" w:rsidRDefault="00D20904" w:rsidP="00E20D03">
      <w:pPr>
        <w:rPr>
          <w:sz w:val="24"/>
          <w:szCs w:val="24"/>
        </w:rPr>
      </w:pPr>
    </w:p>
    <w:p w14:paraId="0B723BAB" w14:textId="0D2E72FC" w:rsidR="001E7422" w:rsidRDefault="001E7422" w:rsidP="00E20D03">
      <w:pPr>
        <w:rPr>
          <w:sz w:val="24"/>
          <w:szCs w:val="24"/>
        </w:rPr>
      </w:pPr>
      <w:r>
        <w:rPr>
          <w:sz w:val="24"/>
          <w:szCs w:val="24"/>
        </w:rPr>
        <w:t xml:space="preserve">We process the data as in </w:t>
      </w:r>
      <w:proofErr w:type="spellStart"/>
      <w:r>
        <w:rPr>
          <w:sz w:val="24"/>
          <w:szCs w:val="24"/>
        </w:rPr>
        <w:t>Dall’Olmo</w:t>
      </w:r>
      <w:proofErr w:type="spellEnd"/>
      <w:r>
        <w:rPr>
          <w:sz w:val="24"/>
          <w:szCs w:val="24"/>
        </w:rPr>
        <w:t xml:space="preserve"> et al., 2009:</w:t>
      </w:r>
    </w:p>
    <w:p w14:paraId="49FDE824" w14:textId="3DF96AB5" w:rsidR="001E7422" w:rsidRDefault="001E7422" w:rsidP="00E20D0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</w:t>
      </w:r>
      <w:r w:rsidRPr="001E7422">
        <w:rPr>
          <w:sz w:val="24"/>
          <w:szCs w:val="24"/>
          <w:vertAlign w:val="subscript"/>
        </w:rPr>
        <w:t>bp</w:t>
      </w:r>
      <w:proofErr w:type="spellEnd"/>
      <w:proofErr w:type="gramEnd"/>
      <w:r>
        <w:rPr>
          <w:sz w:val="24"/>
          <w:szCs w:val="24"/>
        </w:rPr>
        <w:t>(</w:t>
      </w:r>
      <w:r w:rsidRPr="001E7422">
        <w:rPr>
          <w:rFonts w:ascii="Symbol" w:hAnsi="Symbol"/>
          <w:sz w:val="24"/>
          <w:szCs w:val="24"/>
        </w:rPr>
        <w:t></w:t>
      </w:r>
      <w:r>
        <w:rPr>
          <w:sz w:val="24"/>
          <w:szCs w:val="24"/>
        </w:rPr>
        <w:t>)=2</w:t>
      </w:r>
      <w:r w:rsidRPr="001E7422">
        <w:rPr>
          <w:rFonts w:ascii="Symbol" w:hAnsi="Symbol"/>
          <w:sz w:val="24"/>
          <w:szCs w:val="24"/>
        </w:rPr>
        <w:t></w:t>
      </w:r>
      <w:r w:rsidRPr="001E7422">
        <w:rPr>
          <w:rFonts w:ascii="Symbol" w:hAnsi="Symbol"/>
          <w:sz w:val="24"/>
          <w:szCs w:val="24"/>
        </w:rPr>
        <w:t></w:t>
      </w:r>
      <w:r w:rsidR="00792C82">
        <w:rPr>
          <w:rFonts w:ascii="Symbol" w:hAnsi="Symbol"/>
          <w:sz w:val="24"/>
          <w:szCs w:val="24"/>
        </w:rPr>
        <w:t></w:t>
      </w:r>
      <w:r w:rsidR="00792C82">
        <w:rPr>
          <w:rFonts w:ascii="Symbol" w:hAnsi="Symbol"/>
          <w:sz w:val="24"/>
          <w:szCs w:val="24"/>
        </w:rPr>
        <w:t></w:t>
      </w:r>
      <w:r w:rsidR="00792C82">
        <w:rPr>
          <w:rFonts w:ascii="Symbol" w:hAnsi="Symbol"/>
          <w:sz w:val="24"/>
          <w:szCs w:val="24"/>
        </w:rPr>
        <w:t></w:t>
      </w:r>
      <w:r>
        <w:rPr>
          <w:rFonts w:ascii="Symbol" w:hAnsi="Symbol"/>
          <w:sz w:val="24"/>
          <w:szCs w:val="24"/>
        </w:rPr>
        <w:t></w:t>
      </w:r>
      <w:r w:rsidR="00792C82">
        <w:rPr>
          <w:sz w:val="24"/>
          <w:szCs w:val="24"/>
        </w:rPr>
        <w:t>[Slope(</w:t>
      </w:r>
      <w:r w:rsidR="00792C82" w:rsidRPr="001E7422">
        <w:rPr>
          <w:rFonts w:ascii="Symbol" w:hAnsi="Symbol"/>
          <w:sz w:val="24"/>
          <w:szCs w:val="24"/>
        </w:rPr>
        <w:t></w:t>
      </w:r>
      <w:r w:rsidR="00792C82">
        <w:rPr>
          <w:sz w:val="24"/>
          <w:szCs w:val="24"/>
        </w:rPr>
        <w:t>) (counts(</w:t>
      </w:r>
      <w:r w:rsidR="00792C82" w:rsidRPr="001E7422">
        <w:rPr>
          <w:rFonts w:ascii="Symbol" w:hAnsi="Symbol"/>
          <w:sz w:val="24"/>
          <w:szCs w:val="24"/>
        </w:rPr>
        <w:t></w:t>
      </w:r>
      <w:r w:rsidR="00792C82">
        <w:rPr>
          <w:sz w:val="24"/>
          <w:szCs w:val="24"/>
        </w:rPr>
        <w:t>)-dark(</w:t>
      </w:r>
      <w:r w:rsidR="00792C82" w:rsidRPr="001E7422">
        <w:rPr>
          <w:rFonts w:ascii="Symbol" w:hAnsi="Symbol"/>
          <w:sz w:val="24"/>
          <w:szCs w:val="24"/>
        </w:rPr>
        <w:t></w:t>
      </w:r>
      <w:r w:rsidR="00792C82">
        <w:rPr>
          <w:sz w:val="24"/>
          <w:szCs w:val="24"/>
        </w:rPr>
        <w:t xml:space="preserve">))] </w:t>
      </w:r>
      <w:proofErr w:type="spellStart"/>
      <w:r w:rsidR="00792C82" w:rsidRPr="00792C82">
        <w:rPr>
          <w:sz w:val="24"/>
          <w:szCs w:val="24"/>
        </w:rPr>
        <w:t>b</w:t>
      </w:r>
      <w:r w:rsidR="00792C82" w:rsidRPr="001E7422">
        <w:rPr>
          <w:sz w:val="24"/>
          <w:szCs w:val="24"/>
          <w:vertAlign w:val="subscript"/>
        </w:rPr>
        <w:t>b</w:t>
      </w:r>
      <w:r w:rsidR="00792C82">
        <w:rPr>
          <w:sz w:val="24"/>
          <w:szCs w:val="24"/>
          <w:vertAlign w:val="subscript"/>
        </w:rPr>
        <w:t>,</w:t>
      </w:r>
      <w:r w:rsidR="00792C82" w:rsidRPr="00792C82">
        <w:rPr>
          <w:sz w:val="24"/>
          <w:szCs w:val="24"/>
          <w:vertAlign w:val="subscript"/>
        </w:rPr>
        <w:t>salt</w:t>
      </w:r>
      <w:proofErr w:type="spellEnd"/>
      <w:r w:rsidR="00792C82" w:rsidRPr="00792C82">
        <w:rPr>
          <w:sz w:val="24"/>
          <w:szCs w:val="24"/>
          <w:vertAlign w:val="subscript"/>
        </w:rPr>
        <w:t>-water</w:t>
      </w:r>
      <w:r w:rsidR="00792C82">
        <w:rPr>
          <w:sz w:val="24"/>
          <w:szCs w:val="24"/>
        </w:rPr>
        <w:t>(</w:t>
      </w:r>
      <w:r w:rsidR="00792C82" w:rsidRPr="001E7422">
        <w:rPr>
          <w:rFonts w:ascii="Symbol" w:hAnsi="Symbol"/>
          <w:sz w:val="24"/>
          <w:szCs w:val="24"/>
        </w:rPr>
        <w:t></w:t>
      </w:r>
      <w:r w:rsidR="00792C82">
        <w:rPr>
          <w:sz w:val="24"/>
          <w:szCs w:val="24"/>
        </w:rPr>
        <w:t xml:space="preserve">) - </w:t>
      </w:r>
      <w:proofErr w:type="spellStart"/>
      <w:r w:rsidR="00792C82">
        <w:rPr>
          <w:sz w:val="24"/>
          <w:szCs w:val="24"/>
        </w:rPr>
        <w:t>b</w:t>
      </w:r>
      <w:r w:rsidR="00792C82" w:rsidRPr="001E7422">
        <w:rPr>
          <w:sz w:val="24"/>
          <w:szCs w:val="24"/>
          <w:vertAlign w:val="subscript"/>
        </w:rPr>
        <w:t>b</w:t>
      </w:r>
      <w:r w:rsidR="00792C82">
        <w:rPr>
          <w:sz w:val="24"/>
          <w:szCs w:val="24"/>
          <w:vertAlign w:val="subscript"/>
        </w:rPr>
        <w:t>,wall</w:t>
      </w:r>
      <w:proofErr w:type="spellEnd"/>
      <w:r w:rsidR="00792C82">
        <w:rPr>
          <w:sz w:val="24"/>
          <w:szCs w:val="24"/>
        </w:rPr>
        <w:t>(</w:t>
      </w:r>
      <w:r w:rsidR="00792C82" w:rsidRPr="001E7422">
        <w:rPr>
          <w:rFonts w:ascii="Symbol" w:hAnsi="Symbol"/>
          <w:sz w:val="24"/>
          <w:szCs w:val="24"/>
        </w:rPr>
        <w:t></w:t>
      </w:r>
      <w:r w:rsidR="00792C82">
        <w:rPr>
          <w:sz w:val="24"/>
          <w:szCs w:val="24"/>
        </w:rPr>
        <w:t>)</w:t>
      </w:r>
    </w:p>
    <w:p w14:paraId="7B593415" w14:textId="77777777" w:rsidR="00792C82" w:rsidRDefault="00792C82" w:rsidP="00E20D03">
      <w:pPr>
        <w:rPr>
          <w:sz w:val="24"/>
          <w:szCs w:val="24"/>
        </w:rPr>
      </w:pPr>
    </w:p>
    <w:p w14:paraId="28300A48" w14:textId="6649EC0B" w:rsidR="00792C82" w:rsidRDefault="00792C82" w:rsidP="00E20D03">
      <w:pP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Where the slopes and darks are based on the above tables, </w:t>
      </w:r>
      <w:proofErr w:type="spellStart"/>
      <w:r w:rsidRPr="00792C82">
        <w:rPr>
          <w:sz w:val="24"/>
          <w:szCs w:val="24"/>
        </w:rPr>
        <w:t>b</w:t>
      </w:r>
      <w:r w:rsidRPr="001E7422">
        <w:rPr>
          <w:sz w:val="24"/>
          <w:szCs w:val="24"/>
          <w:vertAlign w:val="subscript"/>
        </w:rPr>
        <w:t>b</w:t>
      </w:r>
      <w:proofErr w:type="gramStart"/>
      <w:r>
        <w:rPr>
          <w:sz w:val="24"/>
          <w:szCs w:val="24"/>
          <w:vertAlign w:val="subscript"/>
        </w:rPr>
        <w:t>,</w:t>
      </w:r>
      <w:r w:rsidRPr="00792C82">
        <w:rPr>
          <w:sz w:val="24"/>
          <w:szCs w:val="24"/>
          <w:vertAlign w:val="subscript"/>
        </w:rPr>
        <w:t>salt</w:t>
      </w:r>
      <w:proofErr w:type="spellEnd"/>
      <w:proofErr w:type="gramEnd"/>
      <w:r w:rsidRPr="00792C82">
        <w:rPr>
          <w:sz w:val="24"/>
          <w:szCs w:val="24"/>
          <w:vertAlign w:val="subscript"/>
        </w:rPr>
        <w:t>-water</w:t>
      </w:r>
      <w:r>
        <w:rPr>
          <w:sz w:val="24"/>
          <w:szCs w:val="24"/>
        </w:rPr>
        <w:t xml:space="preserve"> (</w:t>
      </w:r>
      <w:r w:rsidRPr="001E7422">
        <w:rPr>
          <w:rFonts w:ascii="Symbol" w:hAnsi="Symbol"/>
          <w:sz w:val="24"/>
          <w:szCs w:val="24"/>
        </w:rPr>
        <w:t></w:t>
      </w:r>
      <w:r>
        <w:rPr>
          <w:sz w:val="24"/>
          <w:szCs w:val="24"/>
        </w:rPr>
        <w:t xml:space="preserve">) is the backscattering due to salt water (computed using the TSG data using Zhang et al., 2009 with an assumed depolarization 0.039) and </w:t>
      </w:r>
      <w:proofErr w:type="spellStart"/>
      <w:r>
        <w:rPr>
          <w:sz w:val="24"/>
          <w:szCs w:val="24"/>
        </w:rPr>
        <w:t>b</w:t>
      </w:r>
      <w:r w:rsidRPr="001E7422">
        <w:rPr>
          <w:sz w:val="24"/>
          <w:szCs w:val="24"/>
          <w:vertAlign w:val="subscript"/>
        </w:rPr>
        <w:t>b</w:t>
      </w:r>
      <w:r>
        <w:rPr>
          <w:sz w:val="24"/>
          <w:szCs w:val="24"/>
          <w:vertAlign w:val="subscript"/>
        </w:rPr>
        <w:t>,wall</w:t>
      </w:r>
      <w:proofErr w:type="spellEnd"/>
      <w:r>
        <w:rPr>
          <w:sz w:val="24"/>
          <w:szCs w:val="24"/>
        </w:rPr>
        <w:t>(</w:t>
      </w:r>
      <w:r w:rsidRPr="001E7422">
        <w:rPr>
          <w:rFonts w:ascii="Symbol" w:hAnsi="Symbol"/>
          <w:sz w:val="24"/>
          <w:szCs w:val="24"/>
        </w:rPr>
        <w:t></w:t>
      </w:r>
      <w:r>
        <w:rPr>
          <w:sz w:val="24"/>
          <w:szCs w:val="24"/>
        </w:rPr>
        <w:t xml:space="preserve">) the contribution of the casket to the signal as determined by </w:t>
      </w:r>
      <w:proofErr w:type="spellStart"/>
      <w:r>
        <w:rPr>
          <w:sz w:val="24"/>
          <w:szCs w:val="24"/>
        </w:rPr>
        <w:t>Dall’Olmo</w:t>
      </w:r>
      <w:proofErr w:type="spellEnd"/>
      <w:r>
        <w:rPr>
          <w:sz w:val="24"/>
          <w:szCs w:val="24"/>
        </w:rPr>
        <w:t xml:space="preserve"> et al., 2009 (</w:t>
      </w:r>
      <w:proofErr w:type="spellStart"/>
      <w:r>
        <w:rPr>
          <w:sz w:val="24"/>
          <w:szCs w:val="24"/>
        </w:rPr>
        <w:t>b</w:t>
      </w:r>
      <w:r w:rsidRPr="001E7422">
        <w:rPr>
          <w:sz w:val="24"/>
          <w:szCs w:val="24"/>
          <w:vertAlign w:val="subscript"/>
        </w:rPr>
        <w:t>b</w:t>
      </w:r>
      <w:r>
        <w:rPr>
          <w:sz w:val="24"/>
          <w:szCs w:val="24"/>
          <w:vertAlign w:val="subscript"/>
        </w:rPr>
        <w:t>,wall</w:t>
      </w:r>
      <w:proofErr w:type="spellEnd"/>
      <w:r>
        <w:rPr>
          <w:sz w:val="24"/>
          <w:szCs w:val="24"/>
        </w:rPr>
        <w:t>(</w:t>
      </w:r>
      <w:r>
        <w:rPr>
          <w:rFonts w:ascii="Symbol" w:hAnsi="Symbol"/>
          <w:sz w:val="24"/>
          <w:szCs w:val="24"/>
        </w:rPr>
        <w:t></w:t>
      </w:r>
      <w:r>
        <w:rPr>
          <w:rFonts w:ascii="Symbol" w:hAnsi="Symbol"/>
          <w:sz w:val="24"/>
          <w:szCs w:val="24"/>
        </w:rPr>
        <w:t></w:t>
      </w:r>
      <w:r>
        <w:rPr>
          <w:rFonts w:ascii="Symbol" w:hAnsi="Symbol"/>
          <w:sz w:val="24"/>
          <w:szCs w:val="24"/>
        </w:rPr>
        <w:t></w:t>
      </w:r>
      <w:r w:rsidR="00D133D0">
        <w:rPr>
          <w:sz w:val="24"/>
          <w:szCs w:val="24"/>
        </w:rPr>
        <w:t xml:space="preserve">)=0.046 </w:t>
      </w:r>
      <w:r>
        <w:rPr>
          <w:rFonts w:eastAsia="Times New Roman"/>
          <w:color w:val="000000"/>
          <w:sz w:val="24"/>
          <w:szCs w:val="24"/>
        </w:rPr>
        <w:t>E-0</w:t>
      </w:r>
      <w:r w:rsidR="00D133D0"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 w:rsidRPr="001E7422">
        <w:rPr>
          <w:sz w:val="24"/>
          <w:szCs w:val="24"/>
          <w:vertAlign w:val="subscript"/>
        </w:rPr>
        <w:t>b</w:t>
      </w:r>
      <w:r>
        <w:rPr>
          <w:sz w:val="24"/>
          <w:szCs w:val="24"/>
          <w:vertAlign w:val="subscript"/>
        </w:rPr>
        <w:t>,wall</w:t>
      </w:r>
      <w:proofErr w:type="spellEnd"/>
      <w:r>
        <w:rPr>
          <w:sz w:val="24"/>
          <w:szCs w:val="24"/>
        </w:rPr>
        <w:t>(</w:t>
      </w:r>
      <w:r>
        <w:rPr>
          <w:rFonts w:ascii="Symbol" w:hAnsi="Symbol"/>
          <w:sz w:val="24"/>
          <w:szCs w:val="24"/>
        </w:rPr>
        <w:t></w:t>
      </w:r>
      <w:r>
        <w:rPr>
          <w:rFonts w:ascii="Symbol" w:hAnsi="Symbol"/>
          <w:sz w:val="24"/>
          <w:szCs w:val="24"/>
        </w:rPr>
        <w:t></w:t>
      </w:r>
      <w:r>
        <w:rPr>
          <w:rFonts w:ascii="Symbol" w:hAnsi="Symbol"/>
          <w:sz w:val="24"/>
          <w:szCs w:val="24"/>
        </w:rPr>
        <w:t></w:t>
      </w:r>
      <w:r>
        <w:rPr>
          <w:sz w:val="24"/>
          <w:szCs w:val="24"/>
        </w:rPr>
        <w:t>)=</w:t>
      </w:r>
      <w:r w:rsidR="00D133D0">
        <w:rPr>
          <w:rFonts w:eastAsia="Times New Roman"/>
          <w:color w:val="000000"/>
          <w:sz w:val="24"/>
          <w:szCs w:val="24"/>
        </w:rPr>
        <w:t xml:space="preserve">0.03 E-03) and </w:t>
      </w:r>
      <w:r>
        <w:rPr>
          <w:rFonts w:eastAsia="Times New Roman"/>
          <w:color w:val="000000"/>
          <w:sz w:val="24"/>
          <w:szCs w:val="24"/>
        </w:rPr>
        <w:t xml:space="preserve">assuming </w:t>
      </w:r>
      <w:proofErr w:type="spellStart"/>
      <w:r>
        <w:rPr>
          <w:sz w:val="24"/>
          <w:szCs w:val="24"/>
        </w:rPr>
        <w:t>b</w:t>
      </w:r>
      <w:r w:rsidRPr="001E7422">
        <w:rPr>
          <w:sz w:val="24"/>
          <w:szCs w:val="24"/>
          <w:vertAlign w:val="subscript"/>
        </w:rPr>
        <w:t>b</w:t>
      </w:r>
      <w:r>
        <w:rPr>
          <w:sz w:val="24"/>
          <w:szCs w:val="24"/>
          <w:vertAlign w:val="subscript"/>
        </w:rPr>
        <w:t>,wall</w:t>
      </w:r>
      <w:proofErr w:type="spellEnd"/>
      <w:r>
        <w:rPr>
          <w:sz w:val="24"/>
          <w:szCs w:val="24"/>
        </w:rPr>
        <w:t>(</w:t>
      </w:r>
      <w:r>
        <w:rPr>
          <w:rFonts w:ascii="Symbol" w:hAnsi="Symbol"/>
          <w:sz w:val="24"/>
          <w:szCs w:val="24"/>
        </w:rPr>
        <w:t></w:t>
      </w:r>
      <w:r>
        <w:rPr>
          <w:rFonts w:ascii="Symbol" w:hAnsi="Symbol"/>
          <w:sz w:val="24"/>
          <w:szCs w:val="24"/>
        </w:rPr>
        <w:t></w:t>
      </w:r>
      <w:r>
        <w:rPr>
          <w:rFonts w:ascii="Symbol" w:hAnsi="Symbol"/>
          <w:sz w:val="24"/>
          <w:szCs w:val="24"/>
        </w:rPr>
        <w:t></w:t>
      </w:r>
      <w:r>
        <w:rPr>
          <w:sz w:val="24"/>
          <w:szCs w:val="24"/>
        </w:rPr>
        <w:t>)=</w:t>
      </w:r>
      <w:r w:rsidR="00D133D0">
        <w:rPr>
          <w:sz w:val="24"/>
          <w:szCs w:val="24"/>
        </w:rPr>
        <w:t xml:space="preserve">0.02 </w:t>
      </w:r>
      <w:r>
        <w:rPr>
          <w:rFonts w:eastAsia="Times New Roman"/>
          <w:color w:val="000000"/>
          <w:sz w:val="24"/>
          <w:szCs w:val="24"/>
        </w:rPr>
        <w:t>E-05.</w:t>
      </w:r>
    </w:p>
    <w:p w14:paraId="679F6B81" w14:textId="77777777" w:rsidR="00792C82" w:rsidRDefault="00792C82" w:rsidP="00E20D03">
      <w:pPr>
        <w:rPr>
          <w:rFonts w:eastAsia="Times New Roman"/>
          <w:color w:val="000000"/>
          <w:sz w:val="24"/>
          <w:szCs w:val="24"/>
        </w:rPr>
      </w:pPr>
    </w:p>
    <w:p w14:paraId="69EC144B" w14:textId="47F39658" w:rsidR="00792C82" w:rsidRDefault="00792C82" w:rsidP="00E20D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 the data set we only provide to values of total </w:t>
      </w:r>
      <w:r w:rsidR="0014262B">
        <w:rPr>
          <w:rFonts w:eastAsia="Times New Roman"/>
          <w:color w:val="000000"/>
          <w:sz w:val="24"/>
          <w:szCs w:val="24"/>
        </w:rPr>
        <w:t>particulate</w:t>
      </w:r>
      <w:r>
        <w:rPr>
          <w:rFonts w:eastAsia="Times New Roman"/>
          <w:color w:val="000000"/>
          <w:sz w:val="24"/>
          <w:szCs w:val="24"/>
        </w:rPr>
        <w:t xml:space="preserve"> backscattering, when the water was not routed through the filter. </w:t>
      </w:r>
    </w:p>
    <w:p w14:paraId="66E427EC" w14:textId="77777777" w:rsidR="0014262B" w:rsidRDefault="0014262B" w:rsidP="00E20D03">
      <w:pPr>
        <w:rPr>
          <w:rFonts w:eastAsia="Times New Roman"/>
          <w:color w:val="000000"/>
          <w:sz w:val="24"/>
          <w:szCs w:val="24"/>
        </w:rPr>
      </w:pPr>
    </w:p>
    <w:p w14:paraId="59DC6E30" w14:textId="0090CEA4" w:rsidR="0014262B" w:rsidRDefault="00720932" w:rsidP="00E20D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Quality control</w:t>
      </w:r>
      <w:r w:rsidR="0014262B">
        <w:rPr>
          <w:sz w:val="24"/>
          <w:szCs w:val="24"/>
        </w:rPr>
        <w:t xml:space="preserve"> was assessed by computing the p</w:t>
      </w:r>
      <w:r>
        <w:rPr>
          <w:sz w:val="24"/>
          <w:szCs w:val="24"/>
        </w:rPr>
        <w:t>articulate backscattering ratio at three</w:t>
      </w:r>
      <w:r w:rsidR="0014262B">
        <w:rPr>
          <w:sz w:val="24"/>
          <w:szCs w:val="24"/>
        </w:rPr>
        <w:t xml:space="preserve"> wavelengths</w:t>
      </w:r>
      <w:proofErr w:type="gramEnd"/>
      <w:r w:rsidR="0014262B">
        <w:rPr>
          <w:sz w:val="24"/>
          <w:szCs w:val="24"/>
        </w:rPr>
        <w:t xml:space="preserve"> (see figure below). Values were nearly constant spectrally and the median value</w:t>
      </w:r>
      <w:r w:rsidR="00FA27EA">
        <w:rPr>
          <w:sz w:val="24"/>
          <w:szCs w:val="24"/>
        </w:rPr>
        <w:t>s were</w:t>
      </w:r>
      <w:r w:rsidR="0014262B">
        <w:rPr>
          <w:sz w:val="24"/>
          <w:szCs w:val="24"/>
        </w:rPr>
        <w:t xml:space="preserve"> near 0.01 (</w:t>
      </w:r>
      <w:proofErr w:type="spellStart"/>
      <w:r w:rsidR="0014262B">
        <w:rPr>
          <w:sz w:val="24"/>
          <w:szCs w:val="24"/>
        </w:rPr>
        <w:t>Whitmire</w:t>
      </w:r>
      <w:proofErr w:type="spellEnd"/>
      <w:r w:rsidR="0014262B">
        <w:rPr>
          <w:sz w:val="24"/>
          <w:szCs w:val="24"/>
        </w:rPr>
        <w:t xml:space="preserve"> et al, 2009, </w:t>
      </w:r>
      <w:proofErr w:type="spellStart"/>
      <w:r w:rsidR="0014262B">
        <w:rPr>
          <w:sz w:val="24"/>
          <w:szCs w:val="24"/>
        </w:rPr>
        <w:t>Westberry</w:t>
      </w:r>
      <w:proofErr w:type="spellEnd"/>
      <w:r w:rsidR="0014262B">
        <w:rPr>
          <w:sz w:val="24"/>
          <w:szCs w:val="24"/>
        </w:rPr>
        <w:t xml:space="preserve"> et al., 2010). </w:t>
      </w:r>
    </w:p>
    <w:p w14:paraId="483A62A5" w14:textId="77777777" w:rsidR="00792C82" w:rsidRDefault="00792C82" w:rsidP="00E20D03">
      <w:pPr>
        <w:rPr>
          <w:sz w:val="24"/>
          <w:szCs w:val="24"/>
        </w:rPr>
      </w:pPr>
    </w:p>
    <w:p w14:paraId="2C22F4DD" w14:textId="781E468D" w:rsidR="00792C82" w:rsidRDefault="00792C82" w:rsidP="00E20D03">
      <w:pPr>
        <w:rPr>
          <w:sz w:val="24"/>
          <w:szCs w:val="24"/>
        </w:rPr>
      </w:pPr>
    </w:p>
    <w:p w14:paraId="4B032178" w14:textId="767323CE" w:rsidR="007D622B" w:rsidRDefault="00856A82" w:rsidP="00E20D03">
      <w:pPr>
        <w:rPr>
          <w:sz w:val="24"/>
          <w:szCs w:val="24"/>
        </w:rPr>
      </w:pPr>
      <w:r w:rsidRPr="00856A82">
        <w:rPr>
          <w:noProof/>
          <w:sz w:val="24"/>
          <w:szCs w:val="24"/>
          <w:lang w:eastAsia="en-US"/>
        </w:rPr>
        <w:drawing>
          <wp:inline distT="0" distB="0" distL="0" distR="0" wp14:anchorId="3A3197B0" wp14:editId="618CA52E">
            <wp:extent cx="5544163" cy="1921933"/>
            <wp:effectExtent l="0" t="0" r="0" b="8890"/>
            <wp:docPr id="2" name="Picture 2" descr="Macintosh HD:Users:alisonchase:Documents:MATLAB:tara_arctic_bb:hist_bbp_bp_ratios_rgb_11Ma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sonchase:Documents:MATLAB:tara_arctic_bb:hist_bbp_bp_ratios_rgb_11Mar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4" r="6937"/>
                    <a:stretch/>
                  </pic:blipFill>
                  <pic:spPr bwMode="auto">
                    <a:xfrm>
                      <a:off x="0" y="0"/>
                      <a:ext cx="5546341" cy="192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462AB" w14:textId="77777777" w:rsidR="00D61B87" w:rsidRDefault="00D61B87" w:rsidP="00E20D03">
      <w:pPr>
        <w:rPr>
          <w:sz w:val="24"/>
          <w:szCs w:val="24"/>
        </w:rPr>
      </w:pPr>
    </w:p>
    <w:p w14:paraId="0EBA347B" w14:textId="187C1DEA" w:rsidR="00D61B87" w:rsidRDefault="00D61B87" w:rsidP="00E20D03">
      <w:pPr>
        <w:rPr>
          <w:sz w:val="24"/>
          <w:szCs w:val="24"/>
        </w:rPr>
      </w:pPr>
      <w:r>
        <w:rPr>
          <w:sz w:val="24"/>
          <w:szCs w:val="24"/>
        </w:rPr>
        <w:t>References:</w:t>
      </w:r>
    </w:p>
    <w:p w14:paraId="47310500" w14:textId="77777777" w:rsidR="00D61B87" w:rsidRPr="00D61B87" w:rsidRDefault="00D61B87" w:rsidP="00D61B87">
      <w:pPr>
        <w:rPr>
          <w:sz w:val="24"/>
          <w:szCs w:val="24"/>
        </w:rPr>
      </w:pPr>
      <w:proofErr w:type="spellStart"/>
      <w:r w:rsidRPr="00D61B87">
        <w:rPr>
          <w:sz w:val="24"/>
          <w:szCs w:val="24"/>
        </w:rPr>
        <w:t>Dall'Olmo</w:t>
      </w:r>
      <w:proofErr w:type="spellEnd"/>
      <w:r w:rsidRPr="00D61B87">
        <w:rPr>
          <w:sz w:val="24"/>
          <w:szCs w:val="24"/>
        </w:rPr>
        <w:t xml:space="preserve">, G., </w:t>
      </w:r>
      <w:proofErr w:type="spellStart"/>
      <w:r w:rsidRPr="00D61B87">
        <w:rPr>
          <w:sz w:val="24"/>
          <w:szCs w:val="24"/>
        </w:rPr>
        <w:t>T.K</w:t>
      </w:r>
      <w:proofErr w:type="spellEnd"/>
      <w:r w:rsidRPr="00D61B87">
        <w:rPr>
          <w:sz w:val="24"/>
          <w:szCs w:val="24"/>
        </w:rPr>
        <w:t xml:space="preserve">. </w:t>
      </w:r>
      <w:proofErr w:type="spellStart"/>
      <w:r w:rsidRPr="00D61B87">
        <w:rPr>
          <w:sz w:val="24"/>
          <w:szCs w:val="24"/>
        </w:rPr>
        <w:t>Westberry</w:t>
      </w:r>
      <w:proofErr w:type="spellEnd"/>
      <w:r w:rsidRPr="00D61B87">
        <w:rPr>
          <w:sz w:val="24"/>
          <w:szCs w:val="24"/>
        </w:rPr>
        <w:t xml:space="preserve">, </w:t>
      </w:r>
      <w:proofErr w:type="spellStart"/>
      <w:r w:rsidRPr="00D61B87">
        <w:rPr>
          <w:sz w:val="24"/>
          <w:szCs w:val="24"/>
        </w:rPr>
        <w:t>M.J</w:t>
      </w:r>
      <w:proofErr w:type="spellEnd"/>
      <w:r w:rsidRPr="00D61B87">
        <w:rPr>
          <w:sz w:val="24"/>
          <w:szCs w:val="24"/>
        </w:rPr>
        <w:t xml:space="preserve">. </w:t>
      </w:r>
      <w:proofErr w:type="spellStart"/>
      <w:r w:rsidRPr="00D61B87">
        <w:rPr>
          <w:sz w:val="24"/>
          <w:szCs w:val="24"/>
        </w:rPr>
        <w:t>Behrenfeld</w:t>
      </w:r>
      <w:proofErr w:type="spellEnd"/>
      <w:r w:rsidRPr="00D61B87">
        <w:rPr>
          <w:sz w:val="24"/>
          <w:szCs w:val="24"/>
        </w:rPr>
        <w:t xml:space="preserve">, E. Boss, and </w:t>
      </w:r>
      <w:proofErr w:type="spellStart"/>
      <w:r w:rsidRPr="00D61B87">
        <w:rPr>
          <w:sz w:val="24"/>
          <w:szCs w:val="24"/>
        </w:rPr>
        <w:t>W.H</w:t>
      </w:r>
      <w:proofErr w:type="spellEnd"/>
      <w:r w:rsidRPr="00D61B87">
        <w:rPr>
          <w:sz w:val="24"/>
          <w:szCs w:val="24"/>
        </w:rPr>
        <w:t xml:space="preserve">. Slade, 2009. </w:t>
      </w:r>
      <w:proofErr w:type="gramStart"/>
      <w:r w:rsidRPr="00D61B87">
        <w:rPr>
          <w:sz w:val="24"/>
          <w:szCs w:val="24"/>
        </w:rPr>
        <w:t>Significant contribution of large particles to optical backscattering in the open ocean.</w:t>
      </w:r>
      <w:proofErr w:type="gramEnd"/>
      <w:r w:rsidRPr="00D61B87">
        <w:rPr>
          <w:sz w:val="24"/>
          <w:szCs w:val="24"/>
        </w:rPr>
        <w:t xml:space="preserve"> </w:t>
      </w:r>
      <w:proofErr w:type="spellStart"/>
      <w:proofErr w:type="gramStart"/>
      <w:r w:rsidRPr="00D61B87">
        <w:rPr>
          <w:sz w:val="24"/>
          <w:szCs w:val="24"/>
        </w:rPr>
        <w:t>Biogeosciences</w:t>
      </w:r>
      <w:proofErr w:type="spellEnd"/>
      <w:r w:rsidRPr="00D61B87">
        <w:rPr>
          <w:sz w:val="24"/>
          <w:szCs w:val="24"/>
        </w:rPr>
        <w:t xml:space="preserve"> 6, 947-967.</w:t>
      </w:r>
      <w:proofErr w:type="gramEnd"/>
    </w:p>
    <w:p w14:paraId="618C8622" w14:textId="77777777" w:rsidR="00D61B87" w:rsidRPr="00D61B87" w:rsidRDefault="00D61B87" w:rsidP="00D61B87">
      <w:pPr>
        <w:rPr>
          <w:sz w:val="24"/>
          <w:szCs w:val="24"/>
        </w:rPr>
      </w:pPr>
      <w:proofErr w:type="spellStart"/>
      <w:r w:rsidRPr="00D61B87">
        <w:rPr>
          <w:sz w:val="24"/>
          <w:szCs w:val="24"/>
        </w:rPr>
        <w:t>Westberry</w:t>
      </w:r>
      <w:proofErr w:type="spellEnd"/>
      <w:r w:rsidRPr="00D61B87">
        <w:rPr>
          <w:sz w:val="24"/>
          <w:szCs w:val="24"/>
        </w:rPr>
        <w:t xml:space="preserve">, </w:t>
      </w:r>
      <w:proofErr w:type="spellStart"/>
      <w:r w:rsidRPr="00D61B87">
        <w:rPr>
          <w:sz w:val="24"/>
          <w:szCs w:val="24"/>
        </w:rPr>
        <w:t>T.K</w:t>
      </w:r>
      <w:proofErr w:type="spellEnd"/>
      <w:r w:rsidRPr="00D61B87">
        <w:rPr>
          <w:sz w:val="24"/>
          <w:szCs w:val="24"/>
        </w:rPr>
        <w:t xml:space="preserve">, G. </w:t>
      </w:r>
      <w:proofErr w:type="spellStart"/>
      <w:r w:rsidRPr="00D61B87">
        <w:rPr>
          <w:sz w:val="24"/>
          <w:szCs w:val="24"/>
        </w:rPr>
        <w:t>Dall'Olmo</w:t>
      </w:r>
      <w:proofErr w:type="spellEnd"/>
      <w:r w:rsidRPr="00D61B87">
        <w:rPr>
          <w:sz w:val="24"/>
          <w:szCs w:val="24"/>
        </w:rPr>
        <w:t xml:space="preserve">, E. Boss, </w:t>
      </w:r>
      <w:proofErr w:type="spellStart"/>
      <w:r w:rsidRPr="00D61B87">
        <w:rPr>
          <w:sz w:val="24"/>
          <w:szCs w:val="24"/>
        </w:rPr>
        <w:t>M.J</w:t>
      </w:r>
      <w:proofErr w:type="spellEnd"/>
      <w:r w:rsidRPr="00D61B87">
        <w:rPr>
          <w:sz w:val="24"/>
          <w:szCs w:val="24"/>
        </w:rPr>
        <w:t xml:space="preserve">. </w:t>
      </w:r>
      <w:proofErr w:type="spellStart"/>
      <w:r w:rsidRPr="00D61B87">
        <w:rPr>
          <w:sz w:val="24"/>
          <w:szCs w:val="24"/>
        </w:rPr>
        <w:t>Behrenfeld</w:t>
      </w:r>
      <w:proofErr w:type="spellEnd"/>
      <w:r w:rsidRPr="00D61B87">
        <w:rPr>
          <w:sz w:val="24"/>
          <w:szCs w:val="24"/>
        </w:rPr>
        <w:t xml:space="preserve">, and T. </w:t>
      </w:r>
      <w:proofErr w:type="spellStart"/>
      <w:r w:rsidRPr="00D61B87">
        <w:rPr>
          <w:sz w:val="24"/>
          <w:szCs w:val="24"/>
        </w:rPr>
        <w:t>Moutin</w:t>
      </w:r>
      <w:proofErr w:type="spellEnd"/>
      <w:r w:rsidRPr="00D61B87">
        <w:rPr>
          <w:sz w:val="24"/>
          <w:szCs w:val="24"/>
        </w:rPr>
        <w:t xml:space="preserve">, 2010. </w:t>
      </w:r>
      <w:proofErr w:type="gramStart"/>
      <w:r w:rsidRPr="00D61B87">
        <w:rPr>
          <w:sz w:val="24"/>
          <w:szCs w:val="24"/>
        </w:rPr>
        <w:t>Coherence of particulate beam attenuation and backscattering coefficients in diverse open ocean environments.</w:t>
      </w:r>
      <w:proofErr w:type="gramEnd"/>
      <w:r w:rsidRPr="00D61B87">
        <w:rPr>
          <w:sz w:val="24"/>
          <w:szCs w:val="24"/>
        </w:rPr>
        <w:t xml:space="preserve"> Opt. </w:t>
      </w:r>
      <w:proofErr w:type="gramStart"/>
      <w:r w:rsidRPr="00D61B87">
        <w:rPr>
          <w:sz w:val="24"/>
          <w:szCs w:val="24"/>
        </w:rPr>
        <w:t>Express Vol. 18, No. 15, 15419-15425.</w:t>
      </w:r>
      <w:proofErr w:type="gramEnd"/>
    </w:p>
    <w:p w14:paraId="7EBF527B" w14:textId="77777777" w:rsidR="00D61B87" w:rsidRPr="00D61B87" w:rsidRDefault="00D61B87" w:rsidP="00D61B87">
      <w:pPr>
        <w:rPr>
          <w:sz w:val="24"/>
          <w:szCs w:val="24"/>
        </w:rPr>
      </w:pPr>
      <w:proofErr w:type="spellStart"/>
      <w:r w:rsidRPr="00D61B87">
        <w:rPr>
          <w:sz w:val="24"/>
          <w:szCs w:val="24"/>
        </w:rPr>
        <w:t>Whitmire</w:t>
      </w:r>
      <w:proofErr w:type="spellEnd"/>
      <w:r w:rsidRPr="00D61B87">
        <w:rPr>
          <w:sz w:val="24"/>
          <w:szCs w:val="24"/>
        </w:rPr>
        <w:t xml:space="preserve">, </w:t>
      </w:r>
      <w:proofErr w:type="spellStart"/>
      <w:r w:rsidRPr="00D61B87">
        <w:rPr>
          <w:sz w:val="24"/>
          <w:szCs w:val="24"/>
        </w:rPr>
        <w:t>A.L</w:t>
      </w:r>
      <w:proofErr w:type="spellEnd"/>
      <w:r w:rsidRPr="00D61B87">
        <w:rPr>
          <w:sz w:val="24"/>
          <w:szCs w:val="24"/>
        </w:rPr>
        <w:t xml:space="preserve">., E. Boss, T.J. Cowles, and </w:t>
      </w:r>
      <w:proofErr w:type="spellStart"/>
      <w:r w:rsidRPr="00D61B87">
        <w:rPr>
          <w:sz w:val="24"/>
          <w:szCs w:val="24"/>
        </w:rPr>
        <w:t>W.S</w:t>
      </w:r>
      <w:proofErr w:type="spellEnd"/>
      <w:r w:rsidRPr="00D61B87">
        <w:rPr>
          <w:sz w:val="24"/>
          <w:szCs w:val="24"/>
        </w:rPr>
        <w:t xml:space="preserve">. </w:t>
      </w:r>
      <w:proofErr w:type="spellStart"/>
      <w:r w:rsidRPr="00D61B87">
        <w:rPr>
          <w:sz w:val="24"/>
          <w:szCs w:val="24"/>
        </w:rPr>
        <w:t>Pegau</w:t>
      </w:r>
      <w:proofErr w:type="spellEnd"/>
      <w:r w:rsidRPr="00D61B87">
        <w:rPr>
          <w:sz w:val="24"/>
          <w:szCs w:val="24"/>
        </w:rPr>
        <w:t xml:space="preserve">, 2007. </w:t>
      </w:r>
      <w:proofErr w:type="gramStart"/>
      <w:r w:rsidRPr="00D61B87">
        <w:rPr>
          <w:sz w:val="24"/>
          <w:szCs w:val="24"/>
        </w:rPr>
        <w:t>Spectral variability of the particulate backscattering ratio.</w:t>
      </w:r>
      <w:proofErr w:type="gramEnd"/>
      <w:r w:rsidRPr="00D61B87">
        <w:rPr>
          <w:sz w:val="24"/>
          <w:szCs w:val="24"/>
        </w:rPr>
        <w:t xml:space="preserve"> Optics Express, Vol. 15, No. 11, pp. 7019-7031.</w:t>
      </w:r>
    </w:p>
    <w:p w14:paraId="7721564B" w14:textId="331CC11F" w:rsidR="00D61B87" w:rsidRPr="00D61B87" w:rsidRDefault="00D61B87" w:rsidP="00D61B87">
      <w:pPr>
        <w:rPr>
          <w:sz w:val="24"/>
          <w:szCs w:val="24"/>
        </w:rPr>
      </w:pPr>
      <w:r w:rsidRPr="00D61B87">
        <w:rPr>
          <w:bCs/>
          <w:sz w:val="24"/>
          <w:szCs w:val="24"/>
        </w:rPr>
        <w:t>Zhang</w:t>
      </w:r>
      <w:r w:rsidRPr="00D61B87">
        <w:rPr>
          <w:sz w:val="24"/>
          <w:szCs w:val="24"/>
        </w:rPr>
        <w:t xml:space="preserve">, X. </w:t>
      </w:r>
      <w:proofErr w:type="spellStart"/>
      <w:r w:rsidRPr="00D61B87">
        <w:rPr>
          <w:sz w:val="24"/>
          <w:szCs w:val="24"/>
        </w:rPr>
        <w:t>Lianbo</w:t>
      </w:r>
      <w:proofErr w:type="spellEnd"/>
      <w:r w:rsidRPr="00D61B87">
        <w:rPr>
          <w:sz w:val="24"/>
          <w:szCs w:val="24"/>
        </w:rPr>
        <w:t xml:space="preserve"> Hu, and Ming-Xia He, Scattering by pure seawater: Effect of salinity, Optics Express, 2009, 17(7), 5698-5710.</w:t>
      </w:r>
    </w:p>
    <w:p w14:paraId="6C945B91" w14:textId="77777777" w:rsidR="00D61B87" w:rsidRDefault="00D61B87" w:rsidP="00E20D03">
      <w:pPr>
        <w:rPr>
          <w:sz w:val="24"/>
          <w:szCs w:val="24"/>
        </w:rPr>
      </w:pPr>
    </w:p>
    <w:p w14:paraId="5227D3EE" w14:textId="302E2CA3" w:rsidR="007D622B" w:rsidRPr="00792C82" w:rsidRDefault="007D622B" w:rsidP="00E20D03">
      <w:pPr>
        <w:rPr>
          <w:sz w:val="24"/>
          <w:szCs w:val="24"/>
        </w:rPr>
      </w:pPr>
      <w:bookmarkStart w:id="0" w:name="_GoBack"/>
      <w:bookmarkEnd w:id="0"/>
    </w:p>
    <w:sectPr w:rsidR="007D622B" w:rsidRPr="00792C82" w:rsidSect="004934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Lucida Sans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C2"/>
    <w:rsid w:val="0014262B"/>
    <w:rsid w:val="001B0EEA"/>
    <w:rsid w:val="001E1F3F"/>
    <w:rsid w:val="001E24B7"/>
    <w:rsid w:val="001E7422"/>
    <w:rsid w:val="00363D2B"/>
    <w:rsid w:val="00430659"/>
    <w:rsid w:val="00493419"/>
    <w:rsid w:val="004C4B14"/>
    <w:rsid w:val="00525DFA"/>
    <w:rsid w:val="005D0898"/>
    <w:rsid w:val="005E17BD"/>
    <w:rsid w:val="00720932"/>
    <w:rsid w:val="00792C82"/>
    <w:rsid w:val="007D622B"/>
    <w:rsid w:val="00856A82"/>
    <w:rsid w:val="00865EEF"/>
    <w:rsid w:val="008F0450"/>
    <w:rsid w:val="00AA1E61"/>
    <w:rsid w:val="00B50AC2"/>
    <w:rsid w:val="00D133D0"/>
    <w:rsid w:val="00D20904"/>
    <w:rsid w:val="00D277AD"/>
    <w:rsid w:val="00D61B87"/>
    <w:rsid w:val="00DF6674"/>
    <w:rsid w:val="00E07DB5"/>
    <w:rsid w:val="00E20D03"/>
    <w:rsid w:val="00EC19D5"/>
    <w:rsid w:val="00F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293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7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D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20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7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D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20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2451</Characters>
  <Application>Microsoft Macintosh Word</Application>
  <DocSecurity>0</DocSecurity>
  <Lines>20</Lines>
  <Paragraphs>5</Paragraphs>
  <ScaleCrop>false</ScaleCrop>
  <Company>University of Maine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Boss</dc:creator>
  <cp:keywords/>
  <dc:description/>
  <cp:lastModifiedBy>Emmanuel Boss</cp:lastModifiedBy>
  <cp:revision>5</cp:revision>
  <dcterms:created xsi:type="dcterms:W3CDTF">2016-03-11T15:22:00Z</dcterms:created>
  <dcterms:modified xsi:type="dcterms:W3CDTF">2016-03-13T11:46:00Z</dcterms:modified>
</cp:coreProperties>
</file>